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7A14" w14:textId="77777777" w:rsidR="00662ACB" w:rsidRPr="0050037D" w:rsidRDefault="00662ACB" w:rsidP="00662ACB">
      <w:pPr>
        <w:spacing w:after="0" w:line="240" w:lineRule="auto"/>
        <w:jc w:val="center"/>
        <w:rPr>
          <w:rFonts w:ascii="Times New Roman" w:hAnsi="Times New Roman" w:cs="Times New Roman"/>
          <w:b/>
          <w:sz w:val="24"/>
          <w:szCs w:val="24"/>
        </w:rPr>
      </w:pPr>
      <w:bookmarkStart w:id="0" w:name="_GoBack"/>
      <w:bookmarkEnd w:id="0"/>
      <w:r w:rsidRPr="0050037D">
        <w:rPr>
          <w:rFonts w:ascii="Times New Roman" w:hAnsi="Times New Roman" w:cs="Times New Roman"/>
          <w:b/>
          <w:sz w:val="24"/>
          <w:szCs w:val="24"/>
        </w:rPr>
        <w:t xml:space="preserve">VILKAVIŠKIO RAJONO SAVIVALDYBĖS 2021 M. </w:t>
      </w:r>
    </w:p>
    <w:p w14:paraId="59E27A15" w14:textId="77777777" w:rsidR="00662ACB" w:rsidRPr="00AC66B3" w:rsidRDefault="00662ACB" w:rsidP="00662ACB">
      <w:pPr>
        <w:spacing w:after="0" w:line="240" w:lineRule="auto"/>
        <w:jc w:val="center"/>
        <w:rPr>
          <w:rFonts w:ascii="Times New Roman" w:hAnsi="Times New Roman" w:cs="Times New Roman"/>
          <w:b/>
          <w:sz w:val="24"/>
          <w:szCs w:val="24"/>
        </w:rPr>
      </w:pPr>
      <w:r w:rsidRPr="0050037D">
        <w:rPr>
          <w:rFonts w:ascii="Times New Roman" w:hAnsi="Times New Roman" w:cs="Times New Roman"/>
          <w:b/>
          <w:sz w:val="24"/>
          <w:szCs w:val="24"/>
        </w:rPr>
        <w:t>ŠVIETIMO  PAŽANGOS ATASKAITA</w:t>
      </w:r>
    </w:p>
    <w:p w14:paraId="59E27A16" w14:textId="77777777" w:rsidR="00662ACB" w:rsidRDefault="00662ACB" w:rsidP="00662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22899">
        <w:rPr>
          <w:rFonts w:ascii="Times New Roman" w:hAnsi="Times New Roman" w:cs="Times New Roman"/>
          <w:i/>
        </w:rPr>
        <w:t>analizuojamas 2019–2021 m. laikotarpis</w:t>
      </w:r>
      <w:r>
        <w:rPr>
          <w:rFonts w:ascii="Times New Roman" w:hAnsi="Times New Roman" w:cs="Times New Roman"/>
          <w:sz w:val="24"/>
          <w:szCs w:val="24"/>
        </w:rPr>
        <w:t>)</w:t>
      </w:r>
    </w:p>
    <w:p w14:paraId="59E27A17" w14:textId="77777777" w:rsidR="00662ACB" w:rsidRDefault="00662ACB" w:rsidP="00662ACB">
      <w:pPr>
        <w:spacing w:after="0" w:line="240" w:lineRule="auto"/>
        <w:jc w:val="center"/>
        <w:rPr>
          <w:rFonts w:ascii="Times New Roman" w:hAnsi="Times New Roman" w:cs="Times New Roman"/>
          <w:sz w:val="24"/>
          <w:szCs w:val="24"/>
        </w:rPr>
      </w:pPr>
    </w:p>
    <w:p w14:paraId="59E27A18" w14:textId="77777777" w:rsidR="00662ACB" w:rsidRPr="00AC66B3" w:rsidRDefault="00662ACB" w:rsidP="00662ACB">
      <w:pPr>
        <w:spacing w:after="0" w:line="240" w:lineRule="auto"/>
        <w:ind w:firstLine="720"/>
        <w:jc w:val="both"/>
        <w:rPr>
          <w:rFonts w:ascii="Times New Roman" w:eastAsia="Calibri" w:hAnsi="Times New Roman" w:cs="Times New Roman"/>
          <w:i/>
          <w:color w:val="000000"/>
          <w:sz w:val="24"/>
          <w:szCs w:val="24"/>
        </w:rPr>
      </w:pPr>
      <w:r>
        <w:rPr>
          <w:rFonts w:ascii="Times New Roman" w:hAnsi="Times New Roman" w:cs="Times New Roman"/>
          <w:sz w:val="24"/>
          <w:szCs w:val="24"/>
        </w:rPr>
        <w:t>Vilkaviškio rajono savivaldybės 2021 n. švietimo pažangos ataskaita parengta atsižvelgiant į Lietuvos Respublikos Seimo patvirtintos Valstybės švietimo 2013 – 2022 metų strategijos tikslus ir uždavinius, Vilkaviškio rajono savivaldybės bendrojo ugdymo mokyklų tinklo pertvarkos 2020 – 2025 m. bendrojo plano tikslą (</w:t>
      </w:r>
      <w:r w:rsidRPr="00AC66B3">
        <w:rPr>
          <w:rFonts w:ascii="Times New Roman" w:eastAsia="Times New Roman" w:hAnsi="Times New Roman" w:cs="Times New Roman"/>
          <w:i/>
          <w:color w:val="000000"/>
          <w:sz w:val="24"/>
          <w:szCs w:val="24"/>
          <w:lang w:eastAsia="lt-LT"/>
        </w:rPr>
        <w:t>s</w:t>
      </w:r>
      <w:r w:rsidRPr="00AC66B3">
        <w:rPr>
          <w:rFonts w:ascii="Times New Roman" w:eastAsia="Times New Roman" w:hAnsi="Times New Roman" w:cs="Times New Roman"/>
          <w:i/>
          <w:sz w:val="24"/>
          <w:szCs w:val="24"/>
          <w:lang w:eastAsia="lt-LT"/>
        </w:rPr>
        <w:t>udaryti prielaidas ir sąlygas geresnės kokybės švietimui bei veiksmingesniam išteklių paskirstymui</w:t>
      </w:r>
      <w:r>
        <w:rPr>
          <w:rFonts w:ascii="Times New Roman" w:eastAsia="Times New Roman" w:hAnsi="Times New Roman" w:cs="Times New Roman"/>
          <w:b/>
          <w:sz w:val="24"/>
          <w:szCs w:val="24"/>
          <w:lang w:eastAsia="lt-LT"/>
        </w:rPr>
        <w:t>)</w:t>
      </w:r>
      <w:r>
        <w:rPr>
          <w:rFonts w:ascii="Times New Roman" w:hAnsi="Times New Roman" w:cs="Times New Roman"/>
          <w:sz w:val="24"/>
          <w:szCs w:val="24"/>
        </w:rPr>
        <w:t xml:space="preserve"> ir uždavinius (</w:t>
      </w:r>
      <w:r w:rsidRPr="00AA724F">
        <w:rPr>
          <w:rFonts w:ascii="Times New Roman" w:hAnsi="Times New Roman" w:cs="Times New Roman"/>
          <w:i/>
          <w:sz w:val="24"/>
          <w:szCs w:val="24"/>
        </w:rPr>
        <w:t xml:space="preserve">1. </w:t>
      </w:r>
      <w:r w:rsidRPr="00AC66B3">
        <w:rPr>
          <w:rFonts w:ascii="Times New Roman" w:eastAsia="Times New Roman" w:hAnsi="Times New Roman" w:cs="Times New Roman"/>
          <w:i/>
          <w:color w:val="000000"/>
          <w:sz w:val="24"/>
          <w:szCs w:val="24"/>
        </w:rPr>
        <w:t>Reguliuoti mokyklose ir klasėse mokinių skaičių, leidžiantį veiksmingiausiai tenkinti ugdymo (</w:t>
      </w:r>
      <w:proofErr w:type="spellStart"/>
      <w:r w:rsidRPr="00AC66B3">
        <w:rPr>
          <w:rFonts w:ascii="Times New Roman" w:eastAsia="Times New Roman" w:hAnsi="Times New Roman" w:cs="Times New Roman"/>
          <w:i/>
          <w:color w:val="000000"/>
          <w:sz w:val="24"/>
          <w:szCs w:val="24"/>
        </w:rPr>
        <w:t>si</w:t>
      </w:r>
      <w:proofErr w:type="spellEnd"/>
      <w:r w:rsidRPr="00AC66B3">
        <w:rPr>
          <w:rFonts w:ascii="Times New Roman" w:eastAsia="Times New Roman" w:hAnsi="Times New Roman" w:cs="Times New Roman"/>
          <w:i/>
          <w:color w:val="000000"/>
          <w:sz w:val="24"/>
          <w:szCs w:val="24"/>
        </w:rPr>
        <w:t>) tikslus</w:t>
      </w:r>
      <w:r w:rsidRPr="00AA724F">
        <w:rPr>
          <w:rFonts w:ascii="Times New Roman" w:eastAsia="Times New Roman" w:hAnsi="Times New Roman" w:cs="Times New Roman"/>
          <w:i/>
          <w:color w:val="000000"/>
          <w:sz w:val="24"/>
          <w:szCs w:val="24"/>
        </w:rPr>
        <w:t xml:space="preserve">; 2. </w:t>
      </w:r>
      <w:r w:rsidRPr="00AC66B3">
        <w:rPr>
          <w:rFonts w:ascii="Times New Roman" w:eastAsia="Calibri" w:hAnsi="Times New Roman" w:cs="Times New Roman"/>
          <w:i/>
          <w:color w:val="000000"/>
          <w:sz w:val="24"/>
          <w:szCs w:val="24"/>
        </w:rPr>
        <w:t>Pagerinti mokyklų pedagoginio personalo kokybinę sudėtį</w:t>
      </w:r>
      <w:r w:rsidRPr="00AA724F">
        <w:rPr>
          <w:rFonts w:ascii="Times New Roman" w:eastAsia="Calibri" w:hAnsi="Times New Roman" w:cs="Times New Roman"/>
          <w:i/>
          <w:color w:val="000000"/>
          <w:sz w:val="24"/>
          <w:szCs w:val="24"/>
        </w:rPr>
        <w:t xml:space="preserve">; 3. </w:t>
      </w:r>
      <w:r w:rsidRPr="00AC66B3">
        <w:rPr>
          <w:rFonts w:ascii="Times New Roman" w:eastAsia="Calibri" w:hAnsi="Times New Roman" w:cs="Times New Roman"/>
          <w:i/>
          <w:sz w:val="24"/>
          <w:szCs w:val="24"/>
        </w:rPr>
        <w:t>Gerinti mokinių ir mokytojų mokymo (</w:t>
      </w:r>
      <w:proofErr w:type="spellStart"/>
      <w:r w:rsidRPr="00AC66B3">
        <w:rPr>
          <w:rFonts w:ascii="Times New Roman" w:eastAsia="Calibri" w:hAnsi="Times New Roman" w:cs="Times New Roman"/>
          <w:i/>
          <w:sz w:val="24"/>
          <w:szCs w:val="24"/>
        </w:rPr>
        <w:t>si</w:t>
      </w:r>
      <w:proofErr w:type="spellEnd"/>
      <w:r w:rsidRPr="00AC66B3">
        <w:rPr>
          <w:rFonts w:ascii="Times New Roman" w:eastAsia="Calibri" w:hAnsi="Times New Roman" w:cs="Times New Roman"/>
          <w:i/>
          <w:sz w:val="24"/>
          <w:szCs w:val="24"/>
        </w:rPr>
        <w:t>) bazę / aplinkas ir pasirūpinti saugiu jų vežiojimu</w:t>
      </w:r>
      <w:r>
        <w:rPr>
          <w:rFonts w:ascii="Times New Roman" w:eastAsia="Calibri" w:hAnsi="Times New Roman" w:cs="Times New Roman"/>
          <w:i/>
          <w:sz w:val="24"/>
          <w:szCs w:val="24"/>
        </w:rPr>
        <w:t>).</w:t>
      </w:r>
    </w:p>
    <w:p w14:paraId="59E27A19" w14:textId="77777777" w:rsidR="00662ACB" w:rsidRDefault="00662ACB" w:rsidP="00662ACB">
      <w:pPr>
        <w:spacing w:after="0" w:line="240" w:lineRule="auto"/>
        <w:jc w:val="center"/>
        <w:rPr>
          <w:rFonts w:ascii="Times New Roman" w:hAnsi="Times New Roman" w:cs="Times New Roman"/>
          <w:b/>
          <w:sz w:val="24"/>
          <w:szCs w:val="24"/>
        </w:rPr>
      </w:pPr>
    </w:p>
    <w:p w14:paraId="59E27A1A" w14:textId="77777777" w:rsidR="00662ACB" w:rsidRDefault="00662ACB" w:rsidP="00662ACB">
      <w:pPr>
        <w:spacing w:after="0" w:line="240" w:lineRule="auto"/>
        <w:jc w:val="center"/>
        <w:rPr>
          <w:rFonts w:ascii="Times New Roman" w:hAnsi="Times New Roman" w:cs="Times New Roman"/>
          <w:b/>
          <w:sz w:val="24"/>
          <w:szCs w:val="24"/>
        </w:rPr>
      </w:pPr>
      <w:r w:rsidRPr="00AC66B3">
        <w:rPr>
          <w:rFonts w:ascii="Times New Roman" w:hAnsi="Times New Roman" w:cs="Times New Roman"/>
          <w:b/>
          <w:sz w:val="24"/>
          <w:szCs w:val="24"/>
        </w:rPr>
        <w:t xml:space="preserve">Mokyklų </w:t>
      </w:r>
      <w:r>
        <w:rPr>
          <w:rFonts w:ascii="Times New Roman" w:hAnsi="Times New Roman" w:cs="Times New Roman"/>
          <w:b/>
          <w:sz w:val="24"/>
          <w:szCs w:val="24"/>
        </w:rPr>
        <w:t>tinklo</w:t>
      </w:r>
      <w:r w:rsidRPr="00AC66B3">
        <w:rPr>
          <w:rFonts w:ascii="Times New Roman" w:hAnsi="Times New Roman" w:cs="Times New Roman"/>
          <w:b/>
          <w:sz w:val="24"/>
          <w:szCs w:val="24"/>
        </w:rPr>
        <w:t xml:space="preserve"> pokyčiai</w:t>
      </w:r>
    </w:p>
    <w:p w14:paraId="59E27A1B" w14:textId="77777777" w:rsidR="00662ACB" w:rsidRDefault="00662ACB" w:rsidP="00662ACB">
      <w:pPr>
        <w:spacing w:after="0" w:line="240" w:lineRule="auto"/>
        <w:jc w:val="center"/>
        <w:rPr>
          <w:rFonts w:ascii="Times New Roman" w:hAnsi="Times New Roman" w:cs="Times New Roman"/>
          <w:b/>
          <w:sz w:val="24"/>
          <w:szCs w:val="24"/>
        </w:rPr>
      </w:pPr>
    </w:p>
    <w:p w14:paraId="59E27A1C" w14:textId="77777777" w:rsidR="00662ACB" w:rsidRPr="00AC66B3" w:rsidRDefault="00662ACB" w:rsidP="00662ACB">
      <w:pPr>
        <w:spacing w:after="0" w:line="240" w:lineRule="auto"/>
        <w:ind w:firstLine="720"/>
        <w:jc w:val="both"/>
        <w:rPr>
          <w:rFonts w:ascii="Times New Roman" w:eastAsia="Times New Roman" w:hAnsi="Times New Roman" w:cs="Times New Roman"/>
          <w:sz w:val="24"/>
          <w:szCs w:val="24"/>
        </w:rPr>
      </w:pPr>
      <w:r w:rsidRPr="00AC66B3">
        <w:rPr>
          <w:rFonts w:ascii="Times New Roman" w:hAnsi="Times New Roman" w:cs="Times New Roman"/>
          <w:sz w:val="24"/>
          <w:szCs w:val="24"/>
        </w:rPr>
        <w:t xml:space="preserve">Vadovaudamasi Lietuvos Respublikos švietimo įstatymo 28 straipsnio 8 dalimi, Lietuvos Respublikos Vyriausybės 2011 m. birželio 29 d. nutarimu Nr. 768 patvirtintomis Mokyklų, vykdančių formaliojo švietimo programas, tinklo kūrimo taisyklėmis, Vilkaviškio rajono savivaldybės taryba </w:t>
      </w:r>
      <w:r w:rsidRPr="00AC66B3">
        <w:rPr>
          <w:rFonts w:ascii="Times New Roman" w:hAnsi="Times New Roman" w:cs="Times New Roman"/>
          <w:sz w:val="24"/>
          <w:szCs w:val="24"/>
          <w:lang w:eastAsia="lt-LT"/>
        </w:rPr>
        <w:t xml:space="preserve">2020 m. vasario 28 d. sprendimu B-TS-316 patvirtino </w:t>
      </w:r>
      <w:r w:rsidRPr="00AC66B3">
        <w:rPr>
          <w:rFonts w:ascii="Times New Roman" w:hAnsi="Times New Roman" w:cs="Times New Roman"/>
          <w:sz w:val="24"/>
          <w:szCs w:val="24"/>
        </w:rPr>
        <w:t xml:space="preserve">Vilkaviškio rajono savivaldybės bendrojo ugdymo mokyklų tinklo pertvarkos 2020–2025 m. bendrąjį planą. </w:t>
      </w:r>
      <w:r>
        <w:rPr>
          <w:rFonts w:ascii="Times New Roman" w:hAnsi="Times New Roman" w:cs="Times New Roman"/>
          <w:sz w:val="24"/>
          <w:szCs w:val="24"/>
        </w:rPr>
        <w:t xml:space="preserve">Šio plano </w:t>
      </w:r>
      <w:r w:rsidRPr="00AA724F">
        <w:rPr>
          <w:rFonts w:ascii="Times New Roman" w:eastAsia="Times New Roman" w:hAnsi="Times New Roman" w:cs="Times New Roman"/>
          <w:sz w:val="24"/>
          <w:szCs w:val="24"/>
        </w:rPr>
        <w:t>prioritetai</w:t>
      </w:r>
      <w:r>
        <w:rPr>
          <w:rFonts w:ascii="Times New Roman" w:eastAsia="Times New Roman" w:hAnsi="Times New Roman" w:cs="Times New Roman"/>
          <w:sz w:val="24"/>
          <w:szCs w:val="24"/>
        </w:rPr>
        <w:t>:</w:t>
      </w:r>
    </w:p>
    <w:p w14:paraId="59E27A1D" w14:textId="77777777" w:rsidR="00662ACB" w:rsidRPr="00AC66B3" w:rsidRDefault="00662ACB" w:rsidP="00662ACB">
      <w:pPr>
        <w:spacing w:after="0" w:line="240" w:lineRule="auto"/>
        <w:ind w:firstLine="720"/>
        <w:jc w:val="both"/>
        <w:rPr>
          <w:rFonts w:ascii="Times New Roman" w:eastAsia="Times New Roman" w:hAnsi="Times New Roman" w:cs="Times New Roman"/>
          <w:bCs/>
          <w:color w:val="000000"/>
          <w:sz w:val="24"/>
          <w:szCs w:val="24"/>
        </w:rPr>
      </w:pPr>
      <w:r w:rsidRPr="00AC66B3">
        <w:rPr>
          <w:rFonts w:ascii="Times New Roman" w:eastAsia="Times New Roman" w:hAnsi="Times New Roman" w:cs="Times New Roman"/>
          <w:bCs/>
          <w:color w:val="000000"/>
          <w:sz w:val="24"/>
          <w:szCs w:val="24"/>
        </w:rPr>
        <w:t xml:space="preserve">1. Mokytojų kvalifikacijos tobulinimas, vadybinių kompetencijų stiprinimas. </w:t>
      </w:r>
    </w:p>
    <w:p w14:paraId="59E27A1E" w14:textId="77777777" w:rsidR="00662ACB" w:rsidRPr="00AC66B3" w:rsidRDefault="00662ACB" w:rsidP="00662ACB">
      <w:pPr>
        <w:spacing w:after="0" w:line="240" w:lineRule="auto"/>
        <w:ind w:firstLine="720"/>
        <w:jc w:val="both"/>
        <w:rPr>
          <w:rFonts w:ascii="Times New Roman" w:eastAsia="Times New Roman" w:hAnsi="Times New Roman" w:cs="Times New Roman"/>
          <w:bCs/>
          <w:color w:val="000000"/>
          <w:sz w:val="24"/>
          <w:szCs w:val="24"/>
        </w:rPr>
      </w:pPr>
      <w:r w:rsidRPr="00AC66B3">
        <w:rPr>
          <w:rFonts w:ascii="Times New Roman" w:eastAsia="Times New Roman" w:hAnsi="Times New Roman" w:cs="Times New Roman"/>
          <w:bCs/>
          <w:color w:val="000000"/>
          <w:sz w:val="24"/>
          <w:szCs w:val="24"/>
        </w:rPr>
        <w:t>2. Mokyklų mokymosi aplinkos ir pastatų atnaujinimas.</w:t>
      </w:r>
    </w:p>
    <w:p w14:paraId="59E27A1F" w14:textId="77777777" w:rsidR="00662ACB" w:rsidRPr="00AC66B3" w:rsidRDefault="00662ACB" w:rsidP="00662ACB">
      <w:pPr>
        <w:spacing w:after="0" w:line="240" w:lineRule="auto"/>
        <w:ind w:firstLine="720"/>
        <w:jc w:val="both"/>
        <w:rPr>
          <w:rFonts w:ascii="Times New Roman" w:eastAsia="Times New Roman" w:hAnsi="Times New Roman" w:cs="Times New Roman"/>
          <w:bCs/>
          <w:sz w:val="24"/>
          <w:szCs w:val="24"/>
        </w:rPr>
      </w:pPr>
      <w:r w:rsidRPr="00AC66B3">
        <w:rPr>
          <w:rFonts w:ascii="Times New Roman" w:eastAsia="Times New Roman" w:hAnsi="Times New Roman" w:cs="Times New Roman"/>
          <w:bCs/>
          <w:color w:val="000000"/>
          <w:sz w:val="24"/>
          <w:szCs w:val="24"/>
        </w:rPr>
        <w:t>3. K</w:t>
      </w:r>
      <w:r w:rsidRPr="00AC66B3">
        <w:rPr>
          <w:rFonts w:ascii="Times New Roman" w:eastAsia="Times New Roman" w:hAnsi="Times New Roman" w:cs="Times New Roman"/>
          <w:bCs/>
          <w:sz w:val="24"/>
          <w:szCs w:val="24"/>
        </w:rPr>
        <w:t>aimo mokyklų stiprinimas.</w:t>
      </w:r>
    </w:p>
    <w:p w14:paraId="59E27A20" w14:textId="77777777" w:rsidR="00662ACB" w:rsidRPr="00AC66B3" w:rsidRDefault="00662ACB" w:rsidP="00662ACB">
      <w:pPr>
        <w:spacing w:after="0" w:line="240" w:lineRule="auto"/>
        <w:ind w:firstLine="720"/>
        <w:jc w:val="both"/>
        <w:rPr>
          <w:rFonts w:ascii="Times New Roman" w:eastAsia="Times New Roman" w:hAnsi="Times New Roman" w:cs="Times New Roman"/>
          <w:bCs/>
          <w:sz w:val="24"/>
          <w:szCs w:val="24"/>
        </w:rPr>
      </w:pPr>
      <w:r w:rsidRPr="00AC66B3">
        <w:rPr>
          <w:rFonts w:ascii="Times New Roman" w:eastAsia="Times New Roman" w:hAnsi="Times New Roman" w:cs="Times New Roman"/>
          <w:bCs/>
          <w:sz w:val="24"/>
          <w:szCs w:val="24"/>
        </w:rPr>
        <w:t>4. Veiksmingesnis Mokymo lėšų ir ūkio lėšų naudojimas.</w:t>
      </w:r>
    </w:p>
    <w:p w14:paraId="59E27A21" w14:textId="77777777" w:rsidR="00662ACB" w:rsidRPr="00AC66B3" w:rsidRDefault="00662ACB" w:rsidP="00662ACB">
      <w:pPr>
        <w:spacing w:after="0" w:line="240" w:lineRule="auto"/>
        <w:ind w:firstLine="720"/>
        <w:jc w:val="both"/>
        <w:rPr>
          <w:rFonts w:ascii="Times New Roman" w:hAnsi="Times New Roman" w:cs="Times New Roman"/>
          <w:sz w:val="24"/>
          <w:szCs w:val="24"/>
        </w:rPr>
      </w:pPr>
      <w:r w:rsidRPr="00AC66B3">
        <w:rPr>
          <w:rFonts w:ascii="Times New Roman" w:eastAsia="Times New Roman" w:hAnsi="Times New Roman" w:cs="Times New Roman"/>
          <w:bCs/>
          <w:sz w:val="24"/>
          <w:szCs w:val="24"/>
        </w:rPr>
        <w:t>5. K</w:t>
      </w:r>
      <w:r w:rsidRPr="00AC66B3">
        <w:rPr>
          <w:rFonts w:ascii="Times New Roman" w:eastAsia="Times New Roman" w:hAnsi="Times New Roman" w:cs="Times New Roman"/>
          <w:sz w:val="24"/>
          <w:szCs w:val="24"/>
          <w:lang w:eastAsia="lt-LT"/>
        </w:rPr>
        <w:t>okybiško ugdymo turinio garantija kiekvienam mokiniui.</w:t>
      </w:r>
    </w:p>
    <w:p w14:paraId="59E27A22" w14:textId="77777777" w:rsidR="00662ACB" w:rsidRPr="008A19CA" w:rsidRDefault="00662ACB" w:rsidP="00662ACB">
      <w:pPr>
        <w:spacing w:after="0" w:line="240" w:lineRule="auto"/>
        <w:ind w:firstLine="720"/>
        <w:jc w:val="both"/>
        <w:rPr>
          <w:rFonts w:ascii="Times New Roman" w:hAnsi="Times New Roman" w:cs="Times New Roman"/>
          <w:color w:val="000000"/>
          <w:sz w:val="24"/>
          <w:szCs w:val="24"/>
          <w:lang w:eastAsia="lt-LT"/>
        </w:rPr>
      </w:pPr>
      <w:r w:rsidRPr="00AC66B3">
        <w:rPr>
          <w:rFonts w:ascii="Times New Roman" w:hAnsi="Times New Roman" w:cs="Times New Roman"/>
          <w:sz w:val="24"/>
          <w:szCs w:val="24"/>
          <w:lang w:eastAsia="lt-LT"/>
        </w:rPr>
        <w:t>Vilkaviškio rajono savivaldybės administracijos direktoriaus įsakymu sudaryta bendrojo plano rengimo grupė, rengdama Savivaldybės bendrojo ugdymo mokyklų tinklo pertvarkos 2020–2025 metų bendrąjį planą</w:t>
      </w:r>
      <w:r>
        <w:rPr>
          <w:rFonts w:ascii="Times New Roman" w:hAnsi="Times New Roman" w:cs="Times New Roman"/>
          <w:sz w:val="24"/>
          <w:szCs w:val="24"/>
          <w:lang w:eastAsia="lt-LT"/>
        </w:rPr>
        <w:t>,</w:t>
      </w:r>
      <w:r w:rsidRPr="00AC66B3">
        <w:rPr>
          <w:rFonts w:ascii="Times New Roman" w:hAnsi="Times New Roman" w:cs="Times New Roman"/>
          <w:sz w:val="24"/>
          <w:szCs w:val="24"/>
          <w:lang w:eastAsia="lt-LT"/>
        </w:rPr>
        <w:t xml:space="preserve"> atliko ugdymo įstaigų esamos būklės analizę – įvertino demografinius, ekonominius, socialinius ir kultūrinius aspektus, ugdymosi poreikių tenkinimą, ugdymo kokybę, mokinių pavėžėjimo situaciją ir parengė „</w:t>
      </w:r>
      <w:r w:rsidRPr="00AC66B3">
        <w:rPr>
          <w:rFonts w:ascii="Times New Roman" w:hAnsi="Times New Roman" w:cs="Times New Roman"/>
          <w:bCs/>
          <w:color w:val="000000"/>
          <w:sz w:val="24"/>
          <w:szCs w:val="24"/>
        </w:rPr>
        <w:t>Vilkaviškio rajono savivaldybės bendrojo ugdymo mokyklų 2020–2025 metų steigimo, reorganizavimo, likvidavimo, pertvarkymo ir struktūrinių pertvarkymų planą“</w:t>
      </w:r>
      <w:r w:rsidRPr="00AC66B3">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Šis pertvarkymų planas koreguotas 2022 m. sausio mėnesį atsižvelgiant į įvykusius pokyčius švietimo įstaigose ir pasikeitusias </w:t>
      </w:r>
      <w:r w:rsidRPr="00AC66B3">
        <w:rPr>
          <w:rFonts w:ascii="Times New Roman" w:hAnsi="Times New Roman" w:cs="Times New Roman"/>
          <w:sz w:val="24"/>
          <w:szCs w:val="24"/>
        </w:rPr>
        <w:t>Mokyklų, vykdančių formaliojo švietimo programas, tinklo kūrimo taisykl</w:t>
      </w:r>
      <w:r>
        <w:rPr>
          <w:rFonts w:ascii="Times New Roman" w:hAnsi="Times New Roman" w:cs="Times New Roman"/>
          <w:sz w:val="24"/>
          <w:szCs w:val="24"/>
        </w:rPr>
        <w:t xml:space="preserve">es. 2022 m. sausio 22 d. sprendimu B-TS-951 </w:t>
      </w:r>
      <w:r>
        <w:rPr>
          <w:rFonts w:ascii="Times New Roman" w:hAnsi="Times New Roman" w:cs="Times New Roman"/>
          <w:color w:val="000000"/>
          <w:sz w:val="24"/>
          <w:szCs w:val="24"/>
          <w:lang w:eastAsia="lt-LT"/>
        </w:rPr>
        <w:t xml:space="preserve">nauja redakcija patvirtintas </w:t>
      </w:r>
      <w:r>
        <w:rPr>
          <w:rFonts w:ascii="Times New Roman" w:hAnsi="Times New Roman"/>
          <w:bCs/>
          <w:color w:val="000000"/>
          <w:sz w:val="24"/>
          <w:szCs w:val="24"/>
        </w:rPr>
        <w:t>V</w:t>
      </w:r>
      <w:r w:rsidRPr="008A19CA">
        <w:rPr>
          <w:rFonts w:ascii="Times New Roman" w:hAnsi="Times New Roman"/>
          <w:bCs/>
          <w:color w:val="000000"/>
          <w:sz w:val="24"/>
          <w:szCs w:val="24"/>
        </w:rPr>
        <w:t>ilkaviškio rajono savivaldybės bendrojo ugdymo mokyklų 2020–2025 metų steigimo, reorganizavimo, likvidavimo, pertvarkymo ir struktūrinių pertvarkymų planas</w:t>
      </w:r>
    </w:p>
    <w:p w14:paraId="59E27A23" w14:textId="77777777" w:rsidR="00662ACB" w:rsidRPr="00AC66B3" w:rsidRDefault="00662ACB" w:rsidP="00662ACB">
      <w:pPr>
        <w:spacing w:after="0" w:line="240" w:lineRule="auto"/>
        <w:ind w:firstLine="720"/>
        <w:jc w:val="both"/>
        <w:rPr>
          <w:rFonts w:ascii="Times New Roman" w:hAnsi="Times New Roman" w:cs="Times New Roman"/>
          <w:sz w:val="24"/>
          <w:szCs w:val="24"/>
        </w:rPr>
      </w:pPr>
      <w:r w:rsidRPr="00AC66B3">
        <w:rPr>
          <w:rFonts w:ascii="Times New Roman" w:hAnsi="Times New Roman" w:cs="Times New Roman"/>
          <w:color w:val="000000"/>
          <w:sz w:val="24"/>
          <w:szCs w:val="24"/>
          <w:lang w:eastAsia="lt-LT"/>
        </w:rPr>
        <w:t xml:space="preserve">Per dvejus </w:t>
      </w:r>
      <w:r>
        <w:rPr>
          <w:rFonts w:ascii="Times New Roman" w:hAnsi="Times New Roman" w:cs="Times New Roman"/>
          <w:color w:val="000000"/>
          <w:sz w:val="24"/>
          <w:szCs w:val="24"/>
          <w:lang w:eastAsia="lt-LT"/>
        </w:rPr>
        <w:t xml:space="preserve">2020, 2021 </w:t>
      </w:r>
      <w:r w:rsidRPr="00AC66B3">
        <w:rPr>
          <w:rFonts w:ascii="Times New Roman" w:hAnsi="Times New Roman" w:cs="Times New Roman"/>
          <w:color w:val="000000"/>
          <w:sz w:val="24"/>
          <w:szCs w:val="24"/>
          <w:lang w:eastAsia="lt-LT"/>
        </w:rPr>
        <w:t>metus įgyvendinti šie planuoti pokyčiai švietimo įstaigose:</w:t>
      </w:r>
    </w:p>
    <w:p w14:paraId="59E27A24" w14:textId="77777777" w:rsidR="00662ACB" w:rsidRPr="00AC66B3" w:rsidRDefault="00662ACB" w:rsidP="00662ACB">
      <w:pPr>
        <w:spacing w:after="0" w:line="240" w:lineRule="auto"/>
        <w:ind w:firstLine="1296"/>
        <w:jc w:val="both"/>
        <w:rPr>
          <w:rFonts w:ascii="Times New Roman" w:eastAsia="Calibri" w:hAnsi="Times New Roman" w:cs="Times New Roman"/>
          <w:sz w:val="24"/>
          <w:szCs w:val="24"/>
        </w:rPr>
      </w:pPr>
      <w:r w:rsidRPr="00AC66B3">
        <w:rPr>
          <w:rFonts w:ascii="Times New Roman" w:eastAsia="Calibri" w:hAnsi="Times New Roman" w:cs="Times New Roman"/>
          <w:sz w:val="24"/>
          <w:szCs w:val="24"/>
        </w:rPr>
        <w:t xml:space="preserve">1. Vilkaviškio r. Vištyčio Petro Kriaučiūno mokykla-daugiafunkcis centras prijungtas prie Gražiškių gimnazijos. </w:t>
      </w:r>
    </w:p>
    <w:p w14:paraId="59E27A25" w14:textId="77777777" w:rsidR="00662ACB" w:rsidRPr="00AC66B3" w:rsidRDefault="00662ACB" w:rsidP="00662ACB">
      <w:pPr>
        <w:spacing w:after="0" w:line="240" w:lineRule="auto"/>
        <w:ind w:firstLine="1296"/>
        <w:jc w:val="both"/>
        <w:rPr>
          <w:rFonts w:ascii="Times New Roman" w:eastAsia="Calibri" w:hAnsi="Times New Roman" w:cs="Times New Roman"/>
          <w:sz w:val="24"/>
          <w:szCs w:val="24"/>
        </w:rPr>
      </w:pPr>
      <w:r w:rsidRPr="00AC66B3">
        <w:rPr>
          <w:rFonts w:ascii="Times New Roman" w:eastAsia="Calibri" w:hAnsi="Times New Roman" w:cs="Times New Roman"/>
          <w:sz w:val="24"/>
          <w:szCs w:val="24"/>
        </w:rPr>
        <w:t xml:space="preserve">2. Vilkaviškio r. Bartninkų Jono Basanavičiaus mokyklos-daugiafunkcio centro </w:t>
      </w:r>
      <w:proofErr w:type="spellStart"/>
      <w:r w:rsidRPr="00AC66B3">
        <w:rPr>
          <w:rFonts w:ascii="Times New Roman" w:eastAsia="Calibri" w:hAnsi="Times New Roman" w:cs="Times New Roman"/>
          <w:sz w:val="24"/>
          <w:szCs w:val="24"/>
        </w:rPr>
        <w:t>Pašeimenių</w:t>
      </w:r>
      <w:proofErr w:type="spellEnd"/>
      <w:r w:rsidRPr="00AC66B3">
        <w:rPr>
          <w:rFonts w:ascii="Times New Roman" w:eastAsia="Calibri" w:hAnsi="Times New Roman" w:cs="Times New Roman"/>
          <w:sz w:val="24"/>
          <w:szCs w:val="24"/>
        </w:rPr>
        <w:t xml:space="preserve"> skyriuje nekomplektuojamos pradinio ugdymo klasės.</w:t>
      </w:r>
    </w:p>
    <w:p w14:paraId="59E27A26" w14:textId="77777777" w:rsidR="00662ACB" w:rsidRPr="00AC66B3" w:rsidRDefault="00662ACB" w:rsidP="00662ACB">
      <w:pPr>
        <w:spacing w:after="0" w:line="240" w:lineRule="auto"/>
        <w:ind w:firstLine="1296"/>
        <w:jc w:val="both"/>
        <w:rPr>
          <w:rFonts w:ascii="Times New Roman" w:eastAsia="Calibri" w:hAnsi="Times New Roman" w:cs="Times New Roman"/>
          <w:sz w:val="24"/>
          <w:szCs w:val="24"/>
        </w:rPr>
      </w:pPr>
      <w:r w:rsidRPr="00AC66B3">
        <w:rPr>
          <w:rFonts w:ascii="Times New Roman" w:eastAsia="Calibri" w:hAnsi="Times New Roman" w:cs="Times New Roman"/>
          <w:sz w:val="24"/>
          <w:szCs w:val="24"/>
        </w:rPr>
        <w:t xml:space="preserve">3. Vilkaviškio r. Žaliosios Vinco Žemaičio pagrindinė mokykla prijungta prie </w:t>
      </w:r>
      <w:proofErr w:type="spellStart"/>
      <w:r w:rsidRPr="00AC66B3">
        <w:rPr>
          <w:rFonts w:ascii="Times New Roman" w:eastAsia="Calibri" w:hAnsi="Times New Roman" w:cs="Times New Roman"/>
          <w:sz w:val="24"/>
          <w:szCs w:val="24"/>
        </w:rPr>
        <w:t>Sūdavos</w:t>
      </w:r>
      <w:proofErr w:type="spellEnd"/>
      <w:r w:rsidRPr="00AC66B3">
        <w:rPr>
          <w:rFonts w:ascii="Times New Roman" w:eastAsia="Calibri" w:hAnsi="Times New Roman" w:cs="Times New Roman"/>
          <w:sz w:val="24"/>
          <w:szCs w:val="24"/>
        </w:rPr>
        <w:t xml:space="preserve"> pagrindinės mokyklos</w:t>
      </w:r>
      <w:r>
        <w:rPr>
          <w:rFonts w:ascii="Times New Roman" w:eastAsia="Calibri" w:hAnsi="Times New Roman" w:cs="Times New Roman"/>
          <w:sz w:val="24"/>
          <w:szCs w:val="24"/>
        </w:rPr>
        <w:t>.</w:t>
      </w:r>
      <w:r w:rsidRPr="00AC66B3">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AC66B3">
        <w:rPr>
          <w:rFonts w:ascii="Times New Roman" w:eastAsia="Calibri" w:hAnsi="Times New Roman" w:cs="Times New Roman"/>
          <w:sz w:val="24"/>
          <w:szCs w:val="24"/>
        </w:rPr>
        <w:t xml:space="preserve">esusidarius reikiamam komplektų skaičiui, ši įstaiga visiškai uždaryta, o prie </w:t>
      </w:r>
      <w:proofErr w:type="spellStart"/>
      <w:r w:rsidRPr="00AC66B3">
        <w:rPr>
          <w:rFonts w:ascii="Times New Roman" w:eastAsia="Calibri" w:hAnsi="Times New Roman" w:cs="Times New Roman"/>
          <w:sz w:val="24"/>
          <w:szCs w:val="24"/>
        </w:rPr>
        <w:t>Sūdavos</w:t>
      </w:r>
      <w:proofErr w:type="spellEnd"/>
      <w:r w:rsidRPr="00AC66B3">
        <w:rPr>
          <w:rFonts w:ascii="Times New Roman" w:eastAsia="Calibri" w:hAnsi="Times New Roman" w:cs="Times New Roman"/>
          <w:sz w:val="24"/>
          <w:szCs w:val="24"/>
        </w:rPr>
        <w:t xml:space="preserve"> pagrindinės mokyklos prijungtas tik Klausučių skyrius</w:t>
      </w:r>
    </w:p>
    <w:p w14:paraId="59E27A27" w14:textId="77777777" w:rsidR="00662ACB" w:rsidRPr="00AC66B3" w:rsidRDefault="00662ACB" w:rsidP="00662ACB">
      <w:pPr>
        <w:spacing w:after="0" w:line="240" w:lineRule="auto"/>
        <w:ind w:firstLine="1296"/>
        <w:jc w:val="both"/>
        <w:rPr>
          <w:rFonts w:ascii="Times New Roman" w:eastAsia="Calibri" w:hAnsi="Times New Roman" w:cs="Times New Roman"/>
          <w:sz w:val="24"/>
          <w:szCs w:val="24"/>
        </w:rPr>
      </w:pPr>
      <w:r w:rsidRPr="00AC66B3">
        <w:rPr>
          <w:rFonts w:ascii="Times New Roman" w:eastAsia="Calibri" w:hAnsi="Times New Roman" w:cs="Times New Roman"/>
          <w:sz w:val="24"/>
          <w:szCs w:val="24"/>
        </w:rPr>
        <w:t xml:space="preserve">4. Uždarytas Vilkaviškio r. Virbalio pagrindinės mokyklos </w:t>
      </w:r>
      <w:proofErr w:type="spellStart"/>
      <w:r w:rsidRPr="00AC66B3">
        <w:rPr>
          <w:rFonts w:ascii="Times New Roman" w:eastAsia="Calibri" w:hAnsi="Times New Roman" w:cs="Times New Roman"/>
          <w:sz w:val="24"/>
          <w:szCs w:val="24"/>
        </w:rPr>
        <w:t>Šiaudiniškių</w:t>
      </w:r>
      <w:proofErr w:type="spellEnd"/>
      <w:r w:rsidRPr="00AC66B3">
        <w:rPr>
          <w:rFonts w:ascii="Times New Roman" w:eastAsia="Calibri" w:hAnsi="Times New Roman" w:cs="Times New Roman"/>
          <w:sz w:val="24"/>
          <w:szCs w:val="24"/>
        </w:rPr>
        <w:t xml:space="preserve"> skyrius. </w:t>
      </w:r>
    </w:p>
    <w:p w14:paraId="59E27A28" w14:textId="77777777" w:rsidR="00662ACB" w:rsidRPr="00AC66B3" w:rsidRDefault="00662ACB" w:rsidP="00662ACB">
      <w:pPr>
        <w:overflowPunct w:val="0"/>
        <w:spacing w:after="0" w:line="240" w:lineRule="auto"/>
        <w:ind w:firstLine="1296"/>
        <w:jc w:val="both"/>
        <w:textAlignment w:val="baseline"/>
        <w:rPr>
          <w:rFonts w:ascii="Times New Roman" w:eastAsia="Calibri" w:hAnsi="Times New Roman" w:cs="Times New Roman"/>
          <w:sz w:val="24"/>
          <w:szCs w:val="24"/>
        </w:rPr>
      </w:pPr>
      <w:r w:rsidRPr="00AC66B3">
        <w:rPr>
          <w:rFonts w:ascii="Times New Roman" w:eastAsia="Calibri" w:hAnsi="Times New Roman" w:cs="Times New Roman"/>
          <w:sz w:val="24"/>
          <w:szCs w:val="24"/>
        </w:rPr>
        <w:t>5. Vilkaviškio r. Kybartų suaugusiųjų mokykla prijunta prie Giedrių jaunimo ir suaugusiųjų mokyklos. Kybartų suaugusiųjų mokykla buvo tapusi Vilkaviškio r. suaugusiųjų ir jaunimo mokyklos skyriumi, o 2021 m. rudenį, panaikinus Kybartų pataisos namus, šis ugdymo skyrius Kybartuose visiškai likviduotas.</w:t>
      </w:r>
    </w:p>
    <w:p w14:paraId="59E27A29" w14:textId="77777777" w:rsidR="00662ACB" w:rsidRPr="00722899" w:rsidRDefault="00662ACB" w:rsidP="00662ACB">
      <w:pPr>
        <w:spacing w:after="0" w:line="240" w:lineRule="auto"/>
        <w:ind w:firstLine="1296"/>
        <w:jc w:val="both"/>
        <w:rPr>
          <w:rFonts w:ascii="Times New Roman" w:eastAsia="Calibri" w:hAnsi="Times New Roman" w:cs="Times New Roman"/>
          <w:sz w:val="24"/>
          <w:szCs w:val="24"/>
        </w:rPr>
      </w:pPr>
      <w:r w:rsidRPr="00722899">
        <w:rPr>
          <w:rFonts w:ascii="Times New Roman" w:eastAsia="Calibri" w:hAnsi="Times New Roman" w:cs="Times New Roman"/>
          <w:sz w:val="24"/>
          <w:szCs w:val="24"/>
        </w:rPr>
        <w:t>6. Vilkaviškio r. Pajevonio pagrindinė mokykla prijungta prie Virbalio r. pagrindinės mokyklos (tapo jos skyriumi).</w:t>
      </w:r>
    </w:p>
    <w:p w14:paraId="59E27A2A" w14:textId="77777777" w:rsidR="00662ACB" w:rsidRPr="00722899" w:rsidRDefault="00662ACB" w:rsidP="00662ACB">
      <w:pPr>
        <w:spacing w:after="0" w:line="240" w:lineRule="auto"/>
        <w:ind w:firstLine="1296"/>
        <w:jc w:val="both"/>
        <w:rPr>
          <w:rFonts w:ascii="Times New Roman" w:eastAsia="Calibri" w:hAnsi="Times New Roman" w:cs="Times New Roman"/>
          <w:sz w:val="24"/>
          <w:szCs w:val="24"/>
        </w:rPr>
      </w:pPr>
      <w:r w:rsidRPr="00722899">
        <w:rPr>
          <w:rFonts w:ascii="Times New Roman" w:eastAsia="Calibri" w:hAnsi="Times New Roman" w:cs="Times New Roman"/>
          <w:sz w:val="24"/>
          <w:szCs w:val="24"/>
        </w:rPr>
        <w:t xml:space="preserve">Numatomi </w:t>
      </w:r>
      <w:r>
        <w:rPr>
          <w:rFonts w:ascii="Times New Roman" w:eastAsia="Calibri" w:hAnsi="Times New Roman" w:cs="Times New Roman"/>
          <w:sz w:val="24"/>
          <w:szCs w:val="24"/>
        </w:rPr>
        <w:t xml:space="preserve">šie </w:t>
      </w:r>
      <w:r w:rsidRPr="00722899">
        <w:rPr>
          <w:rFonts w:ascii="Times New Roman" w:eastAsia="Calibri" w:hAnsi="Times New Roman" w:cs="Times New Roman"/>
          <w:sz w:val="24"/>
          <w:szCs w:val="24"/>
        </w:rPr>
        <w:t xml:space="preserve">esminiai pokyčiai mokyklų tinkle 2022 </w:t>
      </w:r>
      <w:r>
        <w:rPr>
          <w:rFonts w:ascii="Times New Roman" w:eastAsia="Calibri" w:hAnsi="Times New Roman" w:cs="Times New Roman"/>
          <w:sz w:val="24"/>
          <w:szCs w:val="24"/>
        </w:rPr>
        <w:t>metais:</w:t>
      </w:r>
    </w:p>
    <w:p w14:paraId="59E27A2B" w14:textId="77777777" w:rsidR="00662ACB" w:rsidRDefault="00662ACB" w:rsidP="00662ACB">
      <w:pPr>
        <w:spacing w:after="0" w:line="240" w:lineRule="auto"/>
        <w:ind w:firstLine="1296"/>
        <w:jc w:val="both"/>
        <w:rPr>
          <w:rFonts w:ascii="Times New Roman" w:hAnsi="Times New Roman" w:cs="Times New Roman"/>
          <w:sz w:val="24"/>
          <w:szCs w:val="24"/>
        </w:rPr>
      </w:pPr>
      <w:r w:rsidRPr="00722899">
        <w:rPr>
          <w:rFonts w:ascii="Times New Roman" w:hAnsi="Times New Roman" w:cs="Times New Roman"/>
          <w:sz w:val="24"/>
          <w:szCs w:val="24"/>
        </w:rPr>
        <w:lastRenderedPageBreak/>
        <w:t xml:space="preserve">1. Nuo 2022-09-01 uždaromi Vilkaviškio Salomėjos Nėries pagrindinės mokyklos (Paežerių) bei Gražiškių gimnazijos (Vištyčio) skyriai. </w:t>
      </w:r>
    </w:p>
    <w:p w14:paraId="59E27A2C" w14:textId="77777777" w:rsidR="00662ACB" w:rsidRPr="00722899" w:rsidRDefault="00662ACB" w:rsidP="00662ACB">
      <w:pPr>
        <w:spacing w:after="0" w:line="240" w:lineRule="auto"/>
        <w:ind w:firstLine="1296"/>
        <w:jc w:val="both"/>
        <w:rPr>
          <w:rFonts w:ascii="Times New Roman" w:hAnsi="Times New Roman" w:cs="Times New Roman"/>
          <w:sz w:val="24"/>
          <w:szCs w:val="24"/>
        </w:rPr>
      </w:pPr>
      <w:r w:rsidRPr="00722899">
        <w:rPr>
          <w:rFonts w:ascii="Times New Roman" w:hAnsi="Times New Roman" w:cs="Times New Roman"/>
          <w:sz w:val="24"/>
          <w:szCs w:val="24"/>
        </w:rPr>
        <w:t xml:space="preserve">2. Nuo 2022-09-01 </w:t>
      </w:r>
      <w:r>
        <w:rPr>
          <w:rFonts w:ascii="Times New Roman" w:hAnsi="Times New Roman" w:cs="Times New Roman"/>
          <w:sz w:val="24"/>
          <w:szCs w:val="24"/>
        </w:rPr>
        <w:t xml:space="preserve">reorganizuojami Savivaldybėje esantys mokyklos-daugiafunkciai centrai, </w:t>
      </w:r>
      <w:r w:rsidRPr="00722899">
        <w:rPr>
          <w:rFonts w:ascii="Times New Roman" w:hAnsi="Times New Roman" w:cs="Times New Roman"/>
          <w:sz w:val="24"/>
          <w:szCs w:val="24"/>
        </w:rPr>
        <w:t>numatoma jungti šias įstaigas taip: prie Gražiškių gimnazijos prijungiamas Bartninkų Jono Basanavičiaus mokykla-daugiafunkcis centas (tampa gimnazijos skyriumi), o prie Gižų Kazimiero Baršausko mokyklos-daugiafunkcio centro prijungiami Alvito ir Keturvalakių mokyklos-daugiafunkciai centrai (tampa skyriais).</w:t>
      </w:r>
    </w:p>
    <w:p w14:paraId="59E27A2D" w14:textId="77777777" w:rsidR="003D06B5" w:rsidRDefault="003D06B5" w:rsidP="00662ACB">
      <w:pPr>
        <w:spacing w:after="0" w:line="240" w:lineRule="auto"/>
      </w:pPr>
    </w:p>
    <w:p w14:paraId="59E27A2E" w14:textId="77777777" w:rsidR="00662ACB" w:rsidRPr="002304D9" w:rsidRDefault="00662ACB" w:rsidP="00662ACB">
      <w:pPr>
        <w:spacing w:after="0" w:line="240" w:lineRule="auto"/>
        <w:jc w:val="center"/>
        <w:rPr>
          <w:rFonts w:ascii="Times New Roman" w:hAnsi="Times New Roman" w:cs="Times New Roman"/>
          <w:b/>
          <w:sz w:val="24"/>
          <w:szCs w:val="24"/>
        </w:rPr>
      </w:pPr>
      <w:r w:rsidRPr="002304D9">
        <w:rPr>
          <w:rFonts w:ascii="Times New Roman" w:hAnsi="Times New Roman" w:cs="Times New Roman"/>
          <w:b/>
          <w:sz w:val="24"/>
          <w:szCs w:val="24"/>
        </w:rPr>
        <w:t>Mokyklų, mokinių ir mokytojų skaičiaus pokytis per trejus metus</w:t>
      </w:r>
    </w:p>
    <w:p w14:paraId="59E27A2F" w14:textId="77777777" w:rsidR="00662ACB" w:rsidRDefault="00662ACB" w:rsidP="00662ACB">
      <w:pPr>
        <w:spacing w:after="0" w:line="240" w:lineRule="auto"/>
        <w:jc w:val="center"/>
        <w:rPr>
          <w:rFonts w:ascii="Times New Roman" w:hAnsi="Times New Roman" w:cs="Times New Roman"/>
          <w:b/>
          <w:sz w:val="24"/>
          <w:szCs w:val="24"/>
        </w:rPr>
      </w:pPr>
    </w:p>
    <w:tbl>
      <w:tblPr>
        <w:tblStyle w:val="Lentelstinklelis"/>
        <w:tblW w:w="9356" w:type="dxa"/>
        <w:tblInd w:w="137" w:type="dxa"/>
        <w:tblLayout w:type="fixed"/>
        <w:tblLook w:val="04A0" w:firstRow="1" w:lastRow="0" w:firstColumn="1" w:lastColumn="0" w:noHBand="0" w:noVBand="1"/>
      </w:tblPr>
      <w:tblGrid>
        <w:gridCol w:w="4394"/>
        <w:gridCol w:w="1950"/>
        <w:gridCol w:w="1594"/>
        <w:gridCol w:w="1418"/>
      </w:tblGrid>
      <w:tr w:rsidR="00662ACB" w:rsidRPr="00B0679C" w14:paraId="59E27A34" w14:textId="77777777" w:rsidTr="00581BC4">
        <w:trPr>
          <w:trHeight w:val="205"/>
        </w:trPr>
        <w:tc>
          <w:tcPr>
            <w:tcW w:w="4394" w:type="dxa"/>
            <w:shd w:val="clear" w:color="auto" w:fill="DEEAF6" w:themeFill="accent1" w:themeFillTint="33"/>
          </w:tcPr>
          <w:p w14:paraId="59E27A30" w14:textId="77777777" w:rsidR="00662ACB" w:rsidRPr="00B0679C" w:rsidRDefault="00662ACB" w:rsidP="00581BC4">
            <w:pPr>
              <w:jc w:val="center"/>
              <w:rPr>
                <w:rFonts w:ascii="Times New Roman" w:eastAsia="Calibri" w:hAnsi="Times New Roman" w:cs="Times New Roman"/>
                <w:b/>
                <w:bCs/>
                <w:sz w:val="24"/>
                <w:szCs w:val="24"/>
              </w:rPr>
            </w:pPr>
            <w:r w:rsidRPr="00B0679C">
              <w:rPr>
                <w:rFonts w:ascii="Times New Roman" w:eastAsia="Calibri" w:hAnsi="Times New Roman" w:cs="Times New Roman"/>
                <w:b/>
                <w:bCs/>
                <w:sz w:val="24"/>
                <w:szCs w:val="24"/>
              </w:rPr>
              <w:t>Švietimo įstaigos</w:t>
            </w:r>
          </w:p>
        </w:tc>
        <w:tc>
          <w:tcPr>
            <w:tcW w:w="1950" w:type="dxa"/>
            <w:shd w:val="clear" w:color="auto" w:fill="DEEAF6" w:themeFill="accent1" w:themeFillTint="33"/>
          </w:tcPr>
          <w:p w14:paraId="59E27A31" w14:textId="77777777" w:rsidR="00662ACB" w:rsidRPr="00B0679C" w:rsidRDefault="00662ACB" w:rsidP="00581BC4">
            <w:pPr>
              <w:jc w:val="center"/>
              <w:rPr>
                <w:rFonts w:ascii="Times New Roman" w:eastAsia="Calibri" w:hAnsi="Times New Roman" w:cs="Times New Roman"/>
                <w:b/>
                <w:bCs/>
                <w:sz w:val="24"/>
                <w:szCs w:val="24"/>
              </w:rPr>
            </w:pPr>
            <w:r w:rsidRPr="00B0679C">
              <w:rPr>
                <w:rFonts w:ascii="Times New Roman" w:eastAsia="Calibri" w:hAnsi="Times New Roman" w:cs="Times New Roman"/>
                <w:b/>
                <w:bCs/>
                <w:sz w:val="24"/>
                <w:szCs w:val="24"/>
              </w:rPr>
              <w:t>2019 m.</w:t>
            </w:r>
          </w:p>
        </w:tc>
        <w:tc>
          <w:tcPr>
            <w:tcW w:w="1594" w:type="dxa"/>
            <w:shd w:val="clear" w:color="auto" w:fill="DEEAF6" w:themeFill="accent1" w:themeFillTint="33"/>
          </w:tcPr>
          <w:p w14:paraId="59E27A32" w14:textId="77777777" w:rsidR="00662ACB" w:rsidRPr="00B0679C" w:rsidRDefault="00662ACB" w:rsidP="00581BC4">
            <w:pPr>
              <w:jc w:val="center"/>
              <w:rPr>
                <w:rFonts w:ascii="Times New Roman" w:eastAsia="Calibri" w:hAnsi="Times New Roman" w:cs="Times New Roman"/>
                <w:b/>
                <w:bCs/>
                <w:sz w:val="24"/>
                <w:szCs w:val="24"/>
              </w:rPr>
            </w:pPr>
            <w:r w:rsidRPr="00B0679C">
              <w:rPr>
                <w:rFonts w:ascii="Times New Roman" w:eastAsia="Calibri" w:hAnsi="Times New Roman" w:cs="Times New Roman"/>
                <w:b/>
                <w:bCs/>
                <w:sz w:val="24"/>
                <w:szCs w:val="24"/>
              </w:rPr>
              <w:t>2020 m.</w:t>
            </w:r>
          </w:p>
        </w:tc>
        <w:tc>
          <w:tcPr>
            <w:tcW w:w="1418" w:type="dxa"/>
            <w:shd w:val="clear" w:color="auto" w:fill="DEEAF6" w:themeFill="accent1" w:themeFillTint="33"/>
          </w:tcPr>
          <w:p w14:paraId="59E27A33" w14:textId="77777777" w:rsidR="00662ACB" w:rsidRPr="00B0679C" w:rsidRDefault="00662ACB" w:rsidP="00581BC4">
            <w:pPr>
              <w:jc w:val="center"/>
              <w:rPr>
                <w:rFonts w:ascii="Times New Roman" w:eastAsia="Calibri" w:hAnsi="Times New Roman" w:cs="Times New Roman"/>
                <w:b/>
                <w:bCs/>
                <w:sz w:val="24"/>
                <w:szCs w:val="24"/>
              </w:rPr>
            </w:pPr>
            <w:r w:rsidRPr="00B0679C">
              <w:rPr>
                <w:rFonts w:ascii="Times New Roman" w:eastAsia="Calibri" w:hAnsi="Times New Roman" w:cs="Times New Roman"/>
                <w:b/>
                <w:bCs/>
                <w:sz w:val="24"/>
                <w:szCs w:val="24"/>
              </w:rPr>
              <w:t>2021 m.</w:t>
            </w:r>
          </w:p>
        </w:tc>
      </w:tr>
      <w:tr w:rsidR="00662ACB" w:rsidRPr="00464936" w14:paraId="59E27A39" w14:textId="77777777" w:rsidTr="00581BC4">
        <w:trPr>
          <w:trHeight w:val="200"/>
        </w:trPr>
        <w:tc>
          <w:tcPr>
            <w:tcW w:w="4394" w:type="dxa"/>
          </w:tcPr>
          <w:p w14:paraId="59E27A35"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Lopšelis-darželis</w:t>
            </w:r>
          </w:p>
        </w:tc>
        <w:tc>
          <w:tcPr>
            <w:tcW w:w="1950" w:type="dxa"/>
          </w:tcPr>
          <w:p w14:paraId="59E27A36"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5</w:t>
            </w:r>
          </w:p>
        </w:tc>
        <w:tc>
          <w:tcPr>
            <w:tcW w:w="1594" w:type="dxa"/>
          </w:tcPr>
          <w:p w14:paraId="59E27A37"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5</w:t>
            </w:r>
          </w:p>
        </w:tc>
        <w:tc>
          <w:tcPr>
            <w:tcW w:w="1418" w:type="dxa"/>
          </w:tcPr>
          <w:p w14:paraId="59E27A38"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5</w:t>
            </w:r>
          </w:p>
        </w:tc>
      </w:tr>
      <w:tr w:rsidR="00662ACB" w:rsidRPr="00464936" w14:paraId="59E27A3E" w14:textId="77777777" w:rsidTr="00581BC4">
        <w:trPr>
          <w:trHeight w:val="200"/>
        </w:trPr>
        <w:tc>
          <w:tcPr>
            <w:tcW w:w="4394" w:type="dxa"/>
          </w:tcPr>
          <w:p w14:paraId="59E27A3A"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Mokykla-daugiafunkcis centras</w:t>
            </w:r>
          </w:p>
        </w:tc>
        <w:tc>
          <w:tcPr>
            <w:tcW w:w="1950" w:type="dxa"/>
          </w:tcPr>
          <w:p w14:paraId="59E27A3B" w14:textId="77777777" w:rsidR="00662ACB" w:rsidRPr="00464936" w:rsidRDefault="00662ACB" w:rsidP="00581BC4">
            <w:pPr>
              <w:jc w:val="center"/>
              <w:rPr>
                <w:rFonts w:ascii="Times New Roman" w:eastAsia="Calibri" w:hAnsi="Times New Roman" w:cs="Times New Roman"/>
                <w:sz w:val="24"/>
                <w:szCs w:val="24"/>
              </w:rPr>
            </w:pPr>
            <w:r w:rsidRPr="00E369CC">
              <w:rPr>
                <w:rFonts w:ascii="Times New Roman" w:eastAsia="Calibri" w:hAnsi="Times New Roman" w:cs="Times New Roman"/>
                <w:sz w:val="24"/>
                <w:szCs w:val="24"/>
              </w:rPr>
              <w:t>5</w:t>
            </w:r>
          </w:p>
        </w:tc>
        <w:tc>
          <w:tcPr>
            <w:tcW w:w="1594" w:type="dxa"/>
          </w:tcPr>
          <w:p w14:paraId="59E27A3C"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4</w:t>
            </w:r>
          </w:p>
        </w:tc>
        <w:tc>
          <w:tcPr>
            <w:tcW w:w="1418" w:type="dxa"/>
          </w:tcPr>
          <w:p w14:paraId="59E27A3D"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4</w:t>
            </w:r>
          </w:p>
        </w:tc>
      </w:tr>
      <w:tr w:rsidR="00662ACB" w:rsidRPr="00464936" w14:paraId="59E27A43" w14:textId="77777777" w:rsidTr="00581BC4">
        <w:trPr>
          <w:trHeight w:val="200"/>
        </w:trPr>
        <w:tc>
          <w:tcPr>
            <w:tcW w:w="4394" w:type="dxa"/>
          </w:tcPr>
          <w:p w14:paraId="59E27A3F"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Progimnazija</w:t>
            </w:r>
          </w:p>
        </w:tc>
        <w:tc>
          <w:tcPr>
            <w:tcW w:w="1950" w:type="dxa"/>
          </w:tcPr>
          <w:p w14:paraId="59E27A40"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2</w:t>
            </w:r>
          </w:p>
        </w:tc>
        <w:tc>
          <w:tcPr>
            <w:tcW w:w="1594" w:type="dxa"/>
          </w:tcPr>
          <w:p w14:paraId="59E27A41"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2</w:t>
            </w:r>
          </w:p>
        </w:tc>
        <w:tc>
          <w:tcPr>
            <w:tcW w:w="1418" w:type="dxa"/>
          </w:tcPr>
          <w:p w14:paraId="59E27A42"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2</w:t>
            </w:r>
          </w:p>
        </w:tc>
      </w:tr>
      <w:tr w:rsidR="00662ACB" w:rsidRPr="00464936" w14:paraId="59E27A48" w14:textId="77777777" w:rsidTr="00581BC4">
        <w:trPr>
          <w:trHeight w:val="200"/>
        </w:trPr>
        <w:tc>
          <w:tcPr>
            <w:tcW w:w="4394" w:type="dxa"/>
          </w:tcPr>
          <w:p w14:paraId="59E27A44"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Pradinė mokykla</w:t>
            </w:r>
          </w:p>
        </w:tc>
        <w:tc>
          <w:tcPr>
            <w:tcW w:w="1950" w:type="dxa"/>
          </w:tcPr>
          <w:p w14:paraId="59E27A45"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594" w:type="dxa"/>
          </w:tcPr>
          <w:p w14:paraId="59E27A46"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418" w:type="dxa"/>
          </w:tcPr>
          <w:p w14:paraId="59E27A47"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r>
      <w:tr w:rsidR="00662ACB" w:rsidRPr="00464936" w14:paraId="59E27A4D" w14:textId="77777777" w:rsidTr="00581BC4">
        <w:trPr>
          <w:trHeight w:val="200"/>
        </w:trPr>
        <w:tc>
          <w:tcPr>
            <w:tcW w:w="4394" w:type="dxa"/>
          </w:tcPr>
          <w:p w14:paraId="59E27A49"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Pagrindinė mokykla</w:t>
            </w:r>
          </w:p>
        </w:tc>
        <w:tc>
          <w:tcPr>
            <w:tcW w:w="1950" w:type="dxa"/>
          </w:tcPr>
          <w:p w14:paraId="59E27A4A"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5</w:t>
            </w:r>
          </w:p>
        </w:tc>
        <w:tc>
          <w:tcPr>
            <w:tcW w:w="1594" w:type="dxa"/>
          </w:tcPr>
          <w:p w14:paraId="59E27A4B"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4</w:t>
            </w:r>
          </w:p>
        </w:tc>
        <w:tc>
          <w:tcPr>
            <w:tcW w:w="1418" w:type="dxa"/>
          </w:tcPr>
          <w:p w14:paraId="59E27A4C"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3</w:t>
            </w:r>
          </w:p>
        </w:tc>
      </w:tr>
      <w:tr w:rsidR="00662ACB" w:rsidRPr="00464936" w14:paraId="59E27A52" w14:textId="77777777" w:rsidTr="00581BC4">
        <w:trPr>
          <w:trHeight w:val="200"/>
        </w:trPr>
        <w:tc>
          <w:tcPr>
            <w:tcW w:w="4394" w:type="dxa"/>
          </w:tcPr>
          <w:p w14:paraId="59E27A4E"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Vidurinė mokykla</w:t>
            </w:r>
          </w:p>
        </w:tc>
        <w:tc>
          <w:tcPr>
            <w:tcW w:w="1950" w:type="dxa"/>
          </w:tcPr>
          <w:p w14:paraId="59E27A4F"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0</w:t>
            </w:r>
          </w:p>
        </w:tc>
        <w:tc>
          <w:tcPr>
            <w:tcW w:w="1594" w:type="dxa"/>
          </w:tcPr>
          <w:p w14:paraId="59E27A50"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0</w:t>
            </w:r>
          </w:p>
        </w:tc>
        <w:tc>
          <w:tcPr>
            <w:tcW w:w="1418" w:type="dxa"/>
          </w:tcPr>
          <w:p w14:paraId="59E27A51"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0</w:t>
            </w:r>
          </w:p>
        </w:tc>
      </w:tr>
      <w:tr w:rsidR="00662ACB" w:rsidRPr="00464936" w14:paraId="59E27A57" w14:textId="77777777" w:rsidTr="00581BC4">
        <w:trPr>
          <w:trHeight w:val="200"/>
        </w:trPr>
        <w:tc>
          <w:tcPr>
            <w:tcW w:w="4394" w:type="dxa"/>
          </w:tcPr>
          <w:p w14:paraId="59E27A53"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Gimnazija</w:t>
            </w:r>
          </w:p>
        </w:tc>
        <w:tc>
          <w:tcPr>
            <w:tcW w:w="1950" w:type="dxa"/>
          </w:tcPr>
          <w:p w14:paraId="59E27A54"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4</w:t>
            </w:r>
          </w:p>
        </w:tc>
        <w:tc>
          <w:tcPr>
            <w:tcW w:w="1594" w:type="dxa"/>
          </w:tcPr>
          <w:p w14:paraId="59E27A55"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4</w:t>
            </w:r>
          </w:p>
        </w:tc>
        <w:tc>
          <w:tcPr>
            <w:tcW w:w="1418" w:type="dxa"/>
          </w:tcPr>
          <w:p w14:paraId="59E27A56"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4</w:t>
            </w:r>
          </w:p>
        </w:tc>
      </w:tr>
      <w:tr w:rsidR="00662ACB" w:rsidRPr="00464936" w14:paraId="59E27A5C" w14:textId="77777777" w:rsidTr="00581BC4">
        <w:trPr>
          <w:trHeight w:val="200"/>
        </w:trPr>
        <w:tc>
          <w:tcPr>
            <w:tcW w:w="4394" w:type="dxa"/>
          </w:tcPr>
          <w:p w14:paraId="59E27A58"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Suaugusiųjų, jaunimo mokykla</w:t>
            </w:r>
          </w:p>
        </w:tc>
        <w:tc>
          <w:tcPr>
            <w:tcW w:w="1950" w:type="dxa"/>
          </w:tcPr>
          <w:p w14:paraId="59E27A59"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2</w:t>
            </w:r>
          </w:p>
        </w:tc>
        <w:tc>
          <w:tcPr>
            <w:tcW w:w="1594" w:type="dxa"/>
          </w:tcPr>
          <w:p w14:paraId="59E27A5A"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418" w:type="dxa"/>
          </w:tcPr>
          <w:p w14:paraId="59E27A5B"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r>
      <w:tr w:rsidR="00662ACB" w:rsidRPr="00464936" w14:paraId="59E27A61" w14:textId="77777777" w:rsidTr="00581BC4">
        <w:trPr>
          <w:trHeight w:val="200"/>
        </w:trPr>
        <w:tc>
          <w:tcPr>
            <w:tcW w:w="4394" w:type="dxa"/>
          </w:tcPr>
          <w:p w14:paraId="59E27A5D"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Specialioji mokykla</w:t>
            </w:r>
          </w:p>
        </w:tc>
        <w:tc>
          <w:tcPr>
            <w:tcW w:w="1950" w:type="dxa"/>
          </w:tcPr>
          <w:p w14:paraId="59E27A5E"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594" w:type="dxa"/>
          </w:tcPr>
          <w:p w14:paraId="59E27A5F"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418" w:type="dxa"/>
          </w:tcPr>
          <w:p w14:paraId="59E27A60"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r>
      <w:tr w:rsidR="00662ACB" w:rsidRPr="00464936" w14:paraId="59E27A66" w14:textId="77777777" w:rsidTr="00581BC4">
        <w:trPr>
          <w:trHeight w:val="200"/>
        </w:trPr>
        <w:tc>
          <w:tcPr>
            <w:tcW w:w="4394" w:type="dxa"/>
          </w:tcPr>
          <w:p w14:paraId="59E27A62"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Neformaliojo švietimo įstaigos</w:t>
            </w:r>
          </w:p>
        </w:tc>
        <w:tc>
          <w:tcPr>
            <w:tcW w:w="1950" w:type="dxa"/>
          </w:tcPr>
          <w:p w14:paraId="59E27A63"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3</w:t>
            </w:r>
          </w:p>
        </w:tc>
        <w:tc>
          <w:tcPr>
            <w:tcW w:w="1594" w:type="dxa"/>
          </w:tcPr>
          <w:p w14:paraId="59E27A64"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3</w:t>
            </w:r>
          </w:p>
        </w:tc>
        <w:tc>
          <w:tcPr>
            <w:tcW w:w="1418" w:type="dxa"/>
          </w:tcPr>
          <w:p w14:paraId="59E27A65" w14:textId="77777777" w:rsidR="00662ACB" w:rsidRPr="00464936" w:rsidRDefault="00662ACB" w:rsidP="00C649B3">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 xml:space="preserve">3 </w:t>
            </w:r>
          </w:p>
        </w:tc>
      </w:tr>
      <w:tr w:rsidR="00662ACB" w:rsidRPr="00464936" w14:paraId="59E27A6B" w14:textId="77777777" w:rsidTr="00581BC4">
        <w:trPr>
          <w:trHeight w:val="200"/>
        </w:trPr>
        <w:tc>
          <w:tcPr>
            <w:tcW w:w="4394" w:type="dxa"/>
          </w:tcPr>
          <w:p w14:paraId="59E27A67" w14:textId="77777777" w:rsidR="00662ACB" w:rsidRPr="00464936" w:rsidRDefault="00662ACB" w:rsidP="00581BC4">
            <w:pPr>
              <w:jc w:val="both"/>
              <w:rPr>
                <w:rFonts w:ascii="Times New Roman" w:eastAsia="Calibri" w:hAnsi="Times New Roman" w:cs="Times New Roman"/>
                <w:sz w:val="24"/>
                <w:szCs w:val="24"/>
              </w:rPr>
            </w:pPr>
            <w:r w:rsidRPr="00464936">
              <w:rPr>
                <w:rFonts w:ascii="Times New Roman" w:eastAsia="Calibri" w:hAnsi="Times New Roman" w:cs="Times New Roman"/>
                <w:sz w:val="24"/>
                <w:szCs w:val="24"/>
              </w:rPr>
              <w:t>Švietimo pagalbos tarnyba</w:t>
            </w:r>
          </w:p>
        </w:tc>
        <w:tc>
          <w:tcPr>
            <w:tcW w:w="1950" w:type="dxa"/>
          </w:tcPr>
          <w:p w14:paraId="59E27A68"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594" w:type="dxa"/>
          </w:tcPr>
          <w:p w14:paraId="59E27A69"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c>
          <w:tcPr>
            <w:tcW w:w="1418" w:type="dxa"/>
          </w:tcPr>
          <w:p w14:paraId="59E27A6A" w14:textId="77777777" w:rsidR="00662ACB" w:rsidRPr="00464936" w:rsidRDefault="00662ACB" w:rsidP="00581BC4">
            <w:pPr>
              <w:jc w:val="center"/>
              <w:rPr>
                <w:rFonts w:ascii="Times New Roman" w:eastAsia="Calibri" w:hAnsi="Times New Roman" w:cs="Times New Roman"/>
                <w:sz w:val="24"/>
                <w:szCs w:val="24"/>
              </w:rPr>
            </w:pPr>
            <w:r w:rsidRPr="00464936">
              <w:rPr>
                <w:rFonts w:ascii="Times New Roman" w:eastAsia="Calibri" w:hAnsi="Times New Roman" w:cs="Times New Roman"/>
                <w:sz w:val="24"/>
                <w:szCs w:val="24"/>
              </w:rPr>
              <w:t>1</w:t>
            </w:r>
          </w:p>
        </w:tc>
      </w:tr>
      <w:tr w:rsidR="00662ACB" w:rsidRPr="00464936" w14:paraId="59E27A70" w14:textId="77777777" w:rsidTr="00D431D4">
        <w:trPr>
          <w:trHeight w:val="106"/>
        </w:trPr>
        <w:tc>
          <w:tcPr>
            <w:tcW w:w="4394" w:type="dxa"/>
            <w:shd w:val="clear" w:color="auto" w:fill="DEEAF6" w:themeFill="accent1" w:themeFillTint="33"/>
          </w:tcPr>
          <w:p w14:paraId="59E27A6C" w14:textId="77777777" w:rsidR="00662ACB" w:rsidRPr="00464936" w:rsidRDefault="00662ACB" w:rsidP="00581BC4">
            <w:pPr>
              <w:jc w:val="right"/>
              <w:rPr>
                <w:rFonts w:ascii="Times New Roman" w:eastAsia="Calibri" w:hAnsi="Times New Roman" w:cs="Times New Roman"/>
                <w:bCs/>
                <w:sz w:val="24"/>
                <w:szCs w:val="24"/>
              </w:rPr>
            </w:pPr>
            <w:r w:rsidRPr="00464936">
              <w:rPr>
                <w:rFonts w:ascii="Times New Roman" w:eastAsia="Calibri" w:hAnsi="Times New Roman" w:cs="Times New Roman"/>
                <w:bCs/>
                <w:sz w:val="24"/>
                <w:szCs w:val="24"/>
              </w:rPr>
              <w:t>Iš viso</w:t>
            </w:r>
            <w:r w:rsidR="00C649B3">
              <w:rPr>
                <w:rFonts w:ascii="Times New Roman" w:eastAsia="Calibri" w:hAnsi="Times New Roman" w:cs="Times New Roman"/>
                <w:bCs/>
                <w:sz w:val="24"/>
                <w:szCs w:val="24"/>
              </w:rPr>
              <w:t xml:space="preserve"> įstaigų</w:t>
            </w:r>
          </w:p>
        </w:tc>
        <w:tc>
          <w:tcPr>
            <w:tcW w:w="1950" w:type="dxa"/>
            <w:shd w:val="clear" w:color="auto" w:fill="DEEAF6" w:themeFill="accent1" w:themeFillTint="33"/>
          </w:tcPr>
          <w:p w14:paraId="59E27A6D" w14:textId="77777777" w:rsidR="00662ACB" w:rsidRPr="00464936" w:rsidRDefault="00662ACB" w:rsidP="00581BC4">
            <w:pPr>
              <w:jc w:val="center"/>
              <w:rPr>
                <w:rFonts w:ascii="Times New Roman" w:eastAsia="Calibri" w:hAnsi="Times New Roman" w:cs="Times New Roman"/>
                <w:bCs/>
                <w:sz w:val="24"/>
                <w:szCs w:val="24"/>
              </w:rPr>
            </w:pPr>
            <w:r w:rsidRPr="00464936">
              <w:rPr>
                <w:rFonts w:ascii="Times New Roman" w:eastAsia="Calibri" w:hAnsi="Times New Roman" w:cs="Times New Roman"/>
                <w:bCs/>
                <w:sz w:val="24"/>
                <w:szCs w:val="24"/>
              </w:rPr>
              <w:t>29</w:t>
            </w:r>
          </w:p>
        </w:tc>
        <w:tc>
          <w:tcPr>
            <w:tcW w:w="1594" w:type="dxa"/>
            <w:shd w:val="clear" w:color="auto" w:fill="DEEAF6" w:themeFill="accent1" w:themeFillTint="33"/>
          </w:tcPr>
          <w:p w14:paraId="59E27A6E" w14:textId="77777777" w:rsidR="00662ACB" w:rsidRPr="00464936" w:rsidRDefault="00662ACB" w:rsidP="00581BC4">
            <w:pPr>
              <w:jc w:val="center"/>
              <w:rPr>
                <w:rFonts w:ascii="Times New Roman" w:eastAsia="Calibri" w:hAnsi="Times New Roman" w:cs="Times New Roman"/>
                <w:bCs/>
                <w:sz w:val="24"/>
                <w:szCs w:val="24"/>
              </w:rPr>
            </w:pPr>
            <w:r w:rsidRPr="00464936">
              <w:rPr>
                <w:rFonts w:ascii="Times New Roman" w:eastAsia="Calibri" w:hAnsi="Times New Roman" w:cs="Times New Roman"/>
                <w:bCs/>
                <w:sz w:val="24"/>
                <w:szCs w:val="24"/>
              </w:rPr>
              <w:t>26</w:t>
            </w:r>
          </w:p>
        </w:tc>
        <w:tc>
          <w:tcPr>
            <w:tcW w:w="1418" w:type="dxa"/>
            <w:shd w:val="clear" w:color="auto" w:fill="DEEAF6" w:themeFill="accent1" w:themeFillTint="33"/>
          </w:tcPr>
          <w:p w14:paraId="59E27A6F" w14:textId="77777777" w:rsidR="00662ACB" w:rsidRPr="00464936" w:rsidRDefault="00662ACB" w:rsidP="00C649B3">
            <w:pPr>
              <w:jc w:val="center"/>
              <w:rPr>
                <w:rFonts w:ascii="Times New Roman" w:eastAsia="Calibri" w:hAnsi="Times New Roman" w:cs="Times New Roman"/>
                <w:bCs/>
                <w:sz w:val="24"/>
                <w:szCs w:val="24"/>
              </w:rPr>
            </w:pPr>
            <w:r w:rsidRPr="00464936">
              <w:rPr>
                <w:rFonts w:ascii="Times New Roman" w:eastAsia="Calibri" w:hAnsi="Times New Roman" w:cs="Times New Roman"/>
                <w:bCs/>
                <w:sz w:val="24"/>
                <w:szCs w:val="24"/>
              </w:rPr>
              <w:t xml:space="preserve">25 </w:t>
            </w:r>
          </w:p>
        </w:tc>
      </w:tr>
    </w:tbl>
    <w:p w14:paraId="59E27A71" w14:textId="77777777" w:rsidR="00662ACB" w:rsidRDefault="00662ACB" w:rsidP="00662ACB">
      <w:pPr>
        <w:spacing w:after="0" w:line="240" w:lineRule="auto"/>
      </w:pPr>
    </w:p>
    <w:tbl>
      <w:tblPr>
        <w:tblW w:w="9351" w:type="dxa"/>
        <w:tblInd w:w="147" w:type="dxa"/>
        <w:tblLayout w:type="fixed"/>
        <w:tblLook w:val="04A0" w:firstRow="1" w:lastRow="0" w:firstColumn="1" w:lastColumn="0" w:noHBand="0" w:noVBand="1"/>
      </w:tblPr>
      <w:tblGrid>
        <w:gridCol w:w="1418"/>
        <w:gridCol w:w="2546"/>
        <w:gridCol w:w="2268"/>
        <w:gridCol w:w="1276"/>
        <w:gridCol w:w="1843"/>
      </w:tblGrid>
      <w:tr w:rsidR="00662ACB" w:rsidRPr="00662ACB" w14:paraId="59E27A78" w14:textId="77777777" w:rsidTr="00625CDF">
        <w:trPr>
          <w:trHeight w:val="843"/>
        </w:trPr>
        <w:tc>
          <w:tcPr>
            <w:tcW w:w="1418" w:type="dxa"/>
            <w:tcBorders>
              <w:top w:val="nil"/>
              <w:left w:val="nil"/>
              <w:bottom w:val="single" w:sz="4" w:space="0" w:color="95B3D7"/>
              <w:right w:val="nil"/>
            </w:tcBorders>
            <w:shd w:val="clear" w:color="auto" w:fill="DEEAF6" w:themeFill="accent1" w:themeFillTint="33"/>
            <w:hideMark/>
          </w:tcPr>
          <w:p w14:paraId="59E27A72" w14:textId="77777777" w:rsidR="00662ACB" w:rsidRPr="00662ACB" w:rsidRDefault="00662ACB" w:rsidP="00662ACB">
            <w:pPr>
              <w:spacing w:after="0" w:line="240" w:lineRule="auto"/>
              <w:rPr>
                <w:rFonts w:ascii="Times New Roman" w:eastAsia="Times New Roman" w:hAnsi="Times New Roman" w:cs="Times New Roman"/>
                <w:b/>
                <w:bCs/>
                <w:color w:val="000000"/>
                <w:sz w:val="24"/>
                <w:szCs w:val="24"/>
                <w:lang w:eastAsia="lt-LT"/>
              </w:rPr>
            </w:pPr>
            <w:r w:rsidRPr="00662ACB">
              <w:rPr>
                <w:rFonts w:ascii="Times New Roman" w:eastAsia="Times New Roman" w:hAnsi="Times New Roman" w:cs="Times New Roman"/>
                <w:b/>
                <w:bCs/>
                <w:color w:val="000000"/>
                <w:sz w:val="24"/>
                <w:szCs w:val="24"/>
                <w:lang w:eastAsia="lt-LT"/>
              </w:rPr>
              <w:t>Mokslo metai</w:t>
            </w:r>
          </w:p>
        </w:tc>
        <w:tc>
          <w:tcPr>
            <w:tcW w:w="2546" w:type="dxa"/>
            <w:tcBorders>
              <w:top w:val="nil"/>
              <w:left w:val="nil"/>
              <w:bottom w:val="single" w:sz="4" w:space="0" w:color="95B3D7"/>
              <w:right w:val="nil"/>
            </w:tcBorders>
            <w:shd w:val="clear" w:color="auto" w:fill="DEEAF6" w:themeFill="accent1" w:themeFillTint="33"/>
          </w:tcPr>
          <w:p w14:paraId="59E27A73" w14:textId="77777777" w:rsidR="00662ACB" w:rsidRPr="00662ACB" w:rsidRDefault="00662ACB" w:rsidP="00625CDF">
            <w:pPr>
              <w:spacing w:after="0" w:line="240" w:lineRule="auto"/>
              <w:rPr>
                <w:rFonts w:ascii="Times New Roman" w:eastAsia="Times New Roman" w:hAnsi="Times New Roman" w:cs="Times New Roman"/>
                <w:b/>
                <w:bCs/>
                <w:color w:val="000000"/>
                <w:lang w:eastAsia="lt-LT"/>
              </w:rPr>
            </w:pPr>
            <w:r w:rsidRPr="00662ACB">
              <w:rPr>
                <w:rFonts w:ascii="Times New Roman" w:eastAsia="Times New Roman" w:hAnsi="Times New Roman" w:cs="Times New Roman"/>
                <w:b/>
                <w:bCs/>
                <w:color w:val="000000"/>
                <w:lang w:eastAsia="lt-LT"/>
              </w:rPr>
              <w:t xml:space="preserve">Iš viso vaikų ir mokinių savivaldybės ugdymo įstaigose </w:t>
            </w:r>
            <w:r w:rsidR="00625CDF">
              <w:rPr>
                <w:rFonts w:ascii="Times New Roman" w:eastAsia="Times New Roman" w:hAnsi="Times New Roman" w:cs="Times New Roman"/>
                <w:b/>
                <w:bCs/>
                <w:color w:val="000000"/>
                <w:lang w:eastAsia="lt-LT"/>
              </w:rPr>
              <w:t>skaičius</w:t>
            </w:r>
          </w:p>
        </w:tc>
        <w:tc>
          <w:tcPr>
            <w:tcW w:w="2268" w:type="dxa"/>
            <w:tcBorders>
              <w:top w:val="nil"/>
              <w:left w:val="nil"/>
              <w:bottom w:val="single" w:sz="4" w:space="0" w:color="95B3D7"/>
              <w:right w:val="nil"/>
            </w:tcBorders>
            <w:shd w:val="clear" w:color="auto" w:fill="DEEAF6" w:themeFill="accent1" w:themeFillTint="33"/>
            <w:hideMark/>
          </w:tcPr>
          <w:p w14:paraId="59E27A74" w14:textId="77777777" w:rsidR="00662ACB" w:rsidRPr="00662ACB" w:rsidRDefault="00662ACB" w:rsidP="00662ACB">
            <w:pPr>
              <w:spacing w:after="0" w:line="240" w:lineRule="auto"/>
              <w:rPr>
                <w:rFonts w:ascii="Times New Roman" w:eastAsia="Times New Roman" w:hAnsi="Times New Roman" w:cs="Times New Roman"/>
                <w:b/>
                <w:bCs/>
                <w:color w:val="000000"/>
                <w:lang w:eastAsia="lt-LT"/>
              </w:rPr>
            </w:pPr>
            <w:r w:rsidRPr="00662ACB">
              <w:rPr>
                <w:rFonts w:ascii="Times New Roman" w:eastAsia="Times New Roman" w:hAnsi="Times New Roman" w:cs="Times New Roman"/>
                <w:b/>
                <w:bCs/>
                <w:color w:val="000000"/>
                <w:lang w:eastAsia="lt-LT"/>
              </w:rPr>
              <w:t>Mokinių skaičius priešmokylinio ugdymo – 12 klasėse</w:t>
            </w:r>
          </w:p>
        </w:tc>
        <w:tc>
          <w:tcPr>
            <w:tcW w:w="1276" w:type="dxa"/>
            <w:tcBorders>
              <w:top w:val="nil"/>
              <w:left w:val="nil"/>
              <w:bottom w:val="single" w:sz="4" w:space="0" w:color="95B3D7"/>
              <w:right w:val="nil"/>
            </w:tcBorders>
            <w:shd w:val="clear" w:color="auto" w:fill="DEEAF6" w:themeFill="accent1" w:themeFillTint="33"/>
            <w:hideMark/>
          </w:tcPr>
          <w:p w14:paraId="59E27A75" w14:textId="77777777" w:rsidR="00662ACB" w:rsidRPr="00662ACB" w:rsidRDefault="00662ACB" w:rsidP="00662ACB">
            <w:pPr>
              <w:spacing w:after="0" w:line="240" w:lineRule="auto"/>
              <w:rPr>
                <w:rFonts w:ascii="Times New Roman" w:eastAsia="Times New Roman" w:hAnsi="Times New Roman" w:cs="Times New Roman"/>
                <w:b/>
                <w:bCs/>
                <w:color w:val="000000"/>
                <w:lang w:eastAsia="lt-LT"/>
              </w:rPr>
            </w:pPr>
            <w:r w:rsidRPr="00662ACB">
              <w:rPr>
                <w:rFonts w:ascii="Times New Roman" w:eastAsia="Times New Roman" w:hAnsi="Times New Roman" w:cs="Times New Roman"/>
                <w:b/>
                <w:bCs/>
                <w:color w:val="000000"/>
                <w:lang w:eastAsia="lt-LT"/>
              </w:rPr>
              <w:t>Klasių komplektų skaičius</w:t>
            </w:r>
          </w:p>
        </w:tc>
        <w:tc>
          <w:tcPr>
            <w:tcW w:w="1843" w:type="dxa"/>
            <w:tcBorders>
              <w:top w:val="nil"/>
              <w:left w:val="nil"/>
              <w:bottom w:val="single" w:sz="4" w:space="0" w:color="95B3D7"/>
              <w:right w:val="nil"/>
            </w:tcBorders>
            <w:shd w:val="clear" w:color="auto" w:fill="DEEAF6" w:themeFill="accent1" w:themeFillTint="33"/>
          </w:tcPr>
          <w:p w14:paraId="59E27A76" w14:textId="77777777" w:rsidR="00662ACB" w:rsidRPr="00662ACB" w:rsidRDefault="00662ACB" w:rsidP="00662ACB">
            <w:pPr>
              <w:spacing w:after="0" w:line="240" w:lineRule="auto"/>
              <w:rPr>
                <w:rFonts w:ascii="Times New Roman" w:eastAsia="Times New Roman" w:hAnsi="Times New Roman" w:cs="Times New Roman"/>
                <w:b/>
                <w:bCs/>
                <w:color w:val="000000"/>
                <w:lang w:eastAsia="lt-LT"/>
              </w:rPr>
            </w:pPr>
            <w:r w:rsidRPr="00662ACB">
              <w:rPr>
                <w:rFonts w:ascii="Times New Roman" w:eastAsia="Times New Roman" w:hAnsi="Times New Roman" w:cs="Times New Roman"/>
                <w:b/>
                <w:bCs/>
                <w:color w:val="000000"/>
                <w:lang w:eastAsia="lt-LT"/>
              </w:rPr>
              <w:t>Mokinių skaičius</w:t>
            </w:r>
          </w:p>
          <w:p w14:paraId="59E27A77" w14:textId="77777777" w:rsidR="00662ACB" w:rsidRPr="00662ACB" w:rsidRDefault="00662ACB" w:rsidP="00662ACB">
            <w:pPr>
              <w:spacing w:after="0" w:line="240" w:lineRule="auto"/>
              <w:rPr>
                <w:rFonts w:ascii="Times New Roman" w:eastAsia="Times New Roman" w:hAnsi="Times New Roman" w:cs="Times New Roman"/>
                <w:b/>
                <w:bCs/>
                <w:color w:val="000000"/>
                <w:lang w:eastAsia="lt-LT"/>
              </w:rPr>
            </w:pPr>
            <w:r w:rsidRPr="00662ACB">
              <w:rPr>
                <w:rFonts w:ascii="Times New Roman" w:eastAsia="Times New Roman" w:hAnsi="Times New Roman" w:cs="Times New Roman"/>
                <w:b/>
                <w:bCs/>
                <w:color w:val="000000"/>
                <w:lang w:eastAsia="lt-LT"/>
              </w:rPr>
              <w:t>ikimokykliniame ugdyme</w:t>
            </w:r>
          </w:p>
        </w:tc>
      </w:tr>
      <w:tr w:rsidR="00662ACB" w:rsidRPr="00662ACB" w14:paraId="59E27A7E" w14:textId="77777777" w:rsidTr="00625CDF">
        <w:trPr>
          <w:trHeight w:val="256"/>
        </w:trPr>
        <w:tc>
          <w:tcPr>
            <w:tcW w:w="1418" w:type="dxa"/>
            <w:tcBorders>
              <w:top w:val="nil"/>
              <w:left w:val="nil"/>
              <w:bottom w:val="nil"/>
              <w:right w:val="nil"/>
            </w:tcBorders>
            <w:shd w:val="clear" w:color="auto" w:fill="auto"/>
            <w:noWrap/>
            <w:vAlign w:val="bottom"/>
            <w:hideMark/>
          </w:tcPr>
          <w:p w14:paraId="59E27A79" w14:textId="77777777" w:rsidR="00662ACB" w:rsidRPr="00662ACB" w:rsidRDefault="00662ACB" w:rsidP="00662ACB">
            <w:pPr>
              <w:spacing w:after="0" w:line="240" w:lineRule="auto"/>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2018–2019</w:t>
            </w:r>
          </w:p>
        </w:tc>
        <w:tc>
          <w:tcPr>
            <w:tcW w:w="2546" w:type="dxa"/>
            <w:tcBorders>
              <w:top w:val="nil"/>
              <w:left w:val="nil"/>
              <w:bottom w:val="nil"/>
              <w:right w:val="nil"/>
            </w:tcBorders>
            <w:shd w:val="clear" w:color="auto" w:fill="auto"/>
          </w:tcPr>
          <w:p w14:paraId="59E27A7A"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5 545</w:t>
            </w:r>
          </w:p>
        </w:tc>
        <w:tc>
          <w:tcPr>
            <w:tcW w:w="2268" w:type="dxa"/>
            <w:tcBorders>
              <w:top w:val="nil"/>
              <w:left w:val="nil"/>
              <w:bottom w:val="nil"/>
              <w:right w:val="nil"/>
            </w:tcBorders>
            <w:shd w:val="clear" w:color="auto" w:fill="auto"/>
            <w:noWrap/>
            <w:vAlign w:val="center"/>
            <w:hideMark/>
          </w:tcPr>
          <w:p w14:paraId="59E27A7B"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4 643</w:t>
            </w:r>
          </w:p>
        </w:tc>
        <w:tc>
          <w:tcPr>
            <w:tcW w:w="1276" w:type="dxa"/>
            <w:tcBorders>
              <w:top w:val="nil"/>
              <w:left w:val="nil"/>
              <w:bottom w:val="nil"/>
              <w:right w:val="nil"/>
            </w:tcBorders>
            <w:shd w:val="clear" w:color="auto" w:fill="auto"/>
            <w:noWrap/>
            <w:vAlign w:val="center"/>
            <w:hideMark/>
          </w:tcPr>
          <w:p w14:paraId="59E27A7C"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257</w:t>
            </w:r>
          </w:p>
        </w:tc>
        <w:tc>
          <w:tcPr>
            <w:tcW w:w="1843" w:type="dxa"/>
            <w:tcBorders>
              <w:top w:val="nil"/>
              <w:left w:val="nil"/>
              <w:bottom w:val="nil"/>
              <w:right w:val="nil"/>
            </w:tcBorders>
            <w:shd w:val="clear" w:color="auto" w:fill="auto"/>
            <w:noWrap/>
            <w:vAlign w:val="center"/>
          </w:tcPr>
          <w:p w14:paraId="59E27A7D"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902</w:t>
            </w:r>
          </w:p>
        </w:tc>
      </w:tr>
      <w:tr w:rsidR="00662ACB" w:rsidRPr="00662ACB" w14:paraId="59E27A84" w14:textId="77777777" w:rsidTr="00625CDF">
        <w:trPr>
          <w:trHeight w:val="256"/>
        </w:trPr>
        <w:tc>
          <w:tcPr>
            <w:tcW w:w="1418" w:type="dxa"/>
            <w:tcBorders>
              <w:top w:val="nil"/>
              <w:left w:val="nil"/>
              <w:bottom w:val="nil"/>
              <w:right w:val="nil"/>
            </w:tcBorders>
            <w:shd w:val="clear" w:color="auto" w:fill="auto"/>
            <w:noWrap/>
            <w:vAlign w:val="bottom"/>
            <w:hideMark/>
          </w:tcPr>
          <w:p w14:paraId="59E27A7F" w14:textId="77777777" w:rsidR="00662ACB" w:rsidRPr="00662ACB" w:rsidRDefault="00662ACB" w:rsidP="00662ACB">
            <w:pPr>
              <w:spacing w:after="0" w:line="240" w:lineRule="auto"/>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2019–2020</w:t>
            </w:r>
          </w:p>
        </w:tc>
        <w:tc>
          <w:tcPr>
            <w:tcW w:w="2546" w:type="dxa"/>
            <w:tcBorders>
              <w:top w:val="nil"/>
              <w:left w:val="nil"/>
              <w:bottom w:val="nil"/>
              <w:right w:val="nil"/>
            </w:tcBorders>
            <w:shd w:val="clear" w:color="auto" w:fill="auto"/>
          </w:tcPr>
          <w:p w14:paraId="59E27A80"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5 452</w:t>
            </w:r>
          </w:p>
        </w:tc>
        <w:tc>
          <w:tcPr>
            <w:tcW w:w="2268" w:type="dxa"/>
            <w:tcBorders>
              <w:top w:val="nil"/>
              <w:left w:val="nil"/>
              <w:bottom w:val="nil"/>
              <w:right w:val="nil"/>
            </w:tcBorders>
            <w:shd w:val="clear" w:color="auto" w:fill="auto"/>
            <w:noWrap/>
            <w:vAlign w:val="center"/>
            <w:hideMark/>
          </w:tcPr>
          <w:p w14:paraId="59E27A81"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4 502</w:t>
            </w:r>
          </w:p>
        </w:tc>
        <w:tc>
          <w:tcPr>
            <w:tcW w:w="1276" w:type="dxa"/>
            <w:tcBorders>
              <w:top w:val="nil"/>
              <w:left w:val="nil"/>
              <w:bottom w:val="nil"/>
              <w:right w:val="nil"/>
            </w:tcBorders>
            <w:shd w:val="clear" w:color="auto" w:fill="auto"/>
            <w:noWrap/>
            <w:vAlign w:val="center"/>
            <w:hideMark/>
          </w:tcPr>
          <w:p w14:paraId="59E27A82"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247</w:t>
            </w:r>
          </w:p>
        </w:tc>
        <w:tc>
          <w:tcPr>
            <w:tcW w:w="1843" w:type="dxa"/>
            <w:tcBorders>
              <w:top w:val="nil"/>
              <w:left w:val="nil"/>
              <w:bottom w:val="nil"/>
              <w:right w:val="nil"/>
            </w:tcBorders>
            <w:shd w:val="clear" w:color="auto" w:fill="auto"/>
            <w:noWrap/>
            <w:vAlign w:val="center"/>
          </w:tcPr>
          <w:p w14:paraId="59E27A83"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950</w:t>
            </w:r>
          </w:p>
        </w:tc>
      </w:tr>
      <w:tr w:rsidR="00662ACB" w:rsidRPr="00662ACB" w14:paraId="59E27A8A" w14:textId="77777777" w:rsidTr="00625CDF">
        <w:trPr>
          <w:trHeight w:val="256"/>
        </w:trPr>
        <w:tc>
          <w:tcPr>
            <w:tcW w:w="1418" w:type="dxa"/>
            <w:tcBorders>
              <w:top w:val="nil"/>
              <w:left w:val="nil"/>
              <w:bottom w:val="nil"/>
              <w:right w:val="nil"/>
            </w:tcBorders>
            <w:shd w:val="clear" w:color="auto" w:fill="auto"/>
            <w:noWrap/>
            <w:vAlign w:val="bottom"/>
            <w:hideMark/>
          </w:tcPr>
          <w:p w14:paraId="59E27A85" w14:textId="77777777" w:rsidR="00662ACB" w:rsidRPr="00662ACB" w:rsidRDefault="00662ACB" w:rsidP="00662ACB">
            <w:pPr>
              <w:spacing w:after="0" w:line="240" w:lineRule="auto"/>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2020–2021</w:t>
            </w:r>
          </w:p>
        </w:tc>
        <w:tc>
          <w:tcPr>
            <w:tcW w:w="2546" w:type="dxa"/>
            <w:tcBorders>
              <w:top w:val="nil"/>
              <w:left w:val="nil"/>
              <w:bottom w:val="nil"/>
              <w:right w:val="nil"/>
            </w:tcBorders>
            <w:shd w:val="clear" w:color="auto" w:fill="auto"/>
          </w:tcPr>
          <w:p w14:paraId="59E27A86"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5 337</w:t>
            </w:r>
          </w:p>
        </w:tc>
        <w:tc>
          <w:tcPr>
            <w:tcW w:w="2268" w:type="dxa"/>
            <w:tcBorders>
              <w:top w:val="nil"/>
              <w:left w:val="nil"/>
              <w:bottom w:val="nil"/>
              <w:right w:val="nil"/>
            </w:tcBorders>
            <w:shd w:val="clear" w:color="auto" w:fill="auto"/>
            <w:noWrap/>
            <w:vAlign w:val="center"/>
          </w:tcPr>
          <w:p w14:paraId="59E27A87"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4 341</w:t>
            </w:r>
          </w:p>
        </w:tc>
        <w:tc>
          <w:tcPr>
            <w:tcW w:w="1276" w:type="dxa"/>
            <w:tcBorders>
              <w:top w:val="nil"/>
              <w:left w:val="nil"/>
              <w:bottom w:val="nil"/>
              <w:right w:val="nil"/>
            </w:tcBorders>
            <w:shd w:val="clear" w:color="auto" w:fill="auto"/>
            <w:noWrap/>
            <w:vAlign w:val="center"/>
          </w:tcPr>
          <w:p w14:paraId="59E27A88"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238</w:t>
            </w:r>
          </w:p>
        </w:tc>
        <w:tc>
          <w:tcPr>
            <w:tcW w:w="1843" w:type="dxa"/>
            <w:tcBorders>
              <w:top w:val="nil"/>
              <w:left w:val="nil"/>
              <w:bottom w:val="nil"/>
              <w:right w:val="nil"/>
            </w:tcBorders>
            <w:shd w:val="clear" w:color="auto" w:fill="auto"/>
            <w:noWrap/>
            <w:vAlign w:val="center"/>
          </w:tcPr>
          <w:p w14:paraId="59E27A89"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996</w:t>
            </w:r>
          </w:p>
        </w:tc>
      </w:tr>
      <w:tr w:rsidR="00662ACB" w:rsidRPr="00662ACB" w14:paraId="59E27A90" w14:textId="77777777" w:rsidTr="00625CDF">
        <w:trPr>
          <w:trHeight w:val="256"/>
        </w:trPr>
        <w:tc>
          <w:tcPr>
            <w:tcW w:w="1418" w:type="dxa"/>
            <w:tcBorders>
              <w:top w:val="nil"/>
              <w:left w:val="nil"/>
              <w:bottom w:val="nil"/>
              <w:right w:val="nil"/>
            </w:tcBorders>
            <w:shd w:val="clear" w:color="auto" w:fill="auto"/>
            <w:noWrap/>
            <w:vAlign w:val="bottom"/>
            <w:hideMark/>
          </w:tcPr>
          <w:p w14:paraId="59E27A8B" w14:textId="77777777" w:rsidR="00662ACB" w:rsidRPr="00662ACB" w:rsidRDefault="00662ACB" w:rsidP="00662ACB">
            <w:pPr>
              <w:spacing w:after="0" w:line="240" w:lineRule="auto"/>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2021–2022</w:t>
            </w:r>
          </w:p>
        </w:tc>
        <w:tc>
          <w:tcPr>
            <w:tcW w:w="2546" w:type="dxa"/>
            <w:tcBorders>
              <w:top w:val="nil"/>
              <w:left w:val="nil"/>
              <w:bottom w:val="nil"/>
              <w:right w:val="nil"/>
            </w:tcBorders>
            <w:shd w:val="clear" w:color="auto" w:fill="auto"/>
          </w:tcPr>
          <w:p w14:paraId="59E27A8C"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5 181</w:t>
            </w:r>
          </w:p>
        </w:tc>
        <w:tc>
          <w:tcPr>
            <w:tcW w:w="2268" w:type="dxa"/>
            <w:tcBorders>
              <w:top w:val="nil"/>
              <w:left w:val="nil"/>
              <w:bottom w:val="nil"/>
              <w:right w:val="nil"/>
            </w:tcBorders>
            <w:shd w:val="clear" w:color="auto" w:fill="auto"/>
            <w:noWrap/>
            <w:vAlign w:val="center"/>
          </w:tcPr>
          <w:p w14:paraId="59E27A8D"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4 216</w:t>
            </w:r>
          </w:p>
        </w:tc>
        <w:tc>
          <w:tcPr>
            <w:tcW w:w="1276" w:type="dxa"/>
            <w:tcBorders>
              <w:top w:val="nil"/>
              <w:left w:val="nil"/>
              <w:bottom w:val="nil"/>
              <w:right w:val="nil"/>
            </w:tcBorders>
            <w:shd w:val="clear" w:color="auto" w:fill="auto"/>
            <w:noWrap/>
            <w:vAlign w:val="center"/>
          </w:tcPr>
          <w:p w14:paraId="59E27A8E"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232</w:t>
            </w:r>
          </w:p>
        </w:tc>
        <w:tc>
          <w:tcPr>
            <w:tcW w:w="1843" w:type="dxa"/>
            <w:tcBorders>
              <w:top w:val="nil"/>
              <w:left w:val="nil"/>
              <w:bottom w:val="nil"/>
              <w:right w:val="nil"/>
            </w:tcBorders>
            <w:shd w:val="clear" w:color="auto" w:fill="auto"/>
            <w:noWrap/>
            <w:vAlign w:val="center"/>
            <w:hideMark/>
          </w:tcPr>
          <w:p w14:paraId="59E27A8F" w14:textId="77777777" w:rsidR="00662ACB" w:rsidRPr="00662ACB" w:rsidRDefault="00662ACB" w:rsidP="00662ACB">
            <w:pPr>
              <w:spacing w:after="0" w:line="240" w:lineRule="auto"/>
              <w:jc w:val="center"/>
              <w:rPr>
                <w:rFonts w:ascii="Times New Roman" w:eastAsia="Times New Roman" w:hAnsi="Times New Roman" w:cs="Times New Roman"/>
                <w:color w:val="000000"/>
                <w:sz w:val="24"/>
                <w:szCs w:val="24"/>
                <w:lang w:eastAsia="lt-LT"/>
              </w:rPr>
            </w:pPr>
            <w:r w:rsidRPr="00662ACB">
              <w:rPr>
                <w:rFonts w:ascii="Times New Roman" w:eastAsia="Times New Roman" w:hAnsi="Times New Roman" w:cs="Times New Roman"/>
                <w:color w:val="000000"/>
                <w:sz w:val="24"/>
                <w:szCs w:val="24"/>
                <w:lang w:eastAsia="lt-LT"/>
              </w:rPr>
              <w:t>965</w:t>
            </w:r>
          </w:p>
        </w:tc>
      </w:tr>
    </w:tbl>
    <w:p w14:paraId="59E27A91" w14:textId="77777777" w:rsidR="00662ACB" w:rsidRDefault="00662ACB" w:rsidP="00662ACB">
      <w:pPr>
        <w:spacing w:after="0" w:line="240" w:lineRule="auto"/>
      </w:pPr>
    </w:p>
    <w:tbl>
      <w:tblPr>
        <w:tblStyle w:val="Lentelstinklelis1"/>
        <w:tblpPr w:leftFromText="180" w:rightFromText="180" w:vertAnchor="text" w:horzAnchor="margin" w:tblpX="137" w:tblpY="84"/>
        <w:tblW w:w="0" w:type="auto"/>
        <w:tblLayout w:type="fixed"/>
        <w:tblLook w:val="04A0" w:firstRow="1" w:lastRow="0" w:firstColumn="1" w:lastColumn="0" w:noHBand="0" w:noVBand="1"/>
      </w:tblPr>
      <w:tblGrid>
        <w:gridCol w:w="3402"/>
        <w:gridCol w:w="2122"/>
        <w:gridCol w:w="1701"/>
        <w:gridCol w:w="1984"/>
      </w:tblGrid>
      <w:tr w:rsidR="00662ACB" w:rsidRPr="00662ACB" w14:paraId="59E27A93" w14:textId="77777777" w:rsidTr="00C4079A">
        <w:trPr>
          <w:trHeight w:val="116"/>
        </w:trPr>
        <w:tc>
          <w:tcPr>
            <w:tcW w:w="9209" w:type="dxa"/>
            <w:gridSpan w:val="4"/>
            <w:shd w:val="clear" w:color="auto" w:fill="DEEAF6" w:themeFill="accent1" w:themeFillTint="33"/>
          </w:tcPr>
          <w:p w14:paraId="59E27A92" w14:textId="77777777" w:rsidR="00662ACB" w:rsidRPr="00662ACB" w:rsidRDefault="00662ACB" w:rsidP="00662ACB">
            <w:pPr>
              <w:jc w:val="center"/>
              <w:rPr>
                <w:rFonts w:ascii="Times New Roman" w:hAnsi="Times New Roman" w:cs="Times New Roman"/>
                <w:b/>
                <w:bCs/>
                <w:sz w:val="24"/>
                <w:szCs w:val="24"/>
              </w:rPr>
            </w:pPr>
            <w:r w:rsidRPr="00662ACB">
              <w:rPr>
                <w:rFonts w:ascii="Times New Roman" w:hAnsi="Times New Roman" w:cs="Times New Roman"/>
                <w:b/>
                <w:bCs/>
                <w:sz w:val="24"/>
                <w:szCs w:val="24"/>
              </w:rPr>
              <w:t>Pedagoginiai darbuotojai</w:t>
            </w:r>
          </w:p>
        </w:tc>
      </w:tr>
      <w:tr w:rsidR="00662ACB" w:rsidRPr="00662ACB" w14:paraId="59E27A99" w14:textId="77777777" w:rsidTr="00C4079A">
        <w:trPr>
          <w:trHeight w:val="555"/>
        </w:trPr>
        <w:tc>
          <w:tcPr>
            <w:tcW w:w="3402" w:type="dxa"/>
          </w:tcPr>
          <w:p w14:paraId="59E27A94" w14:textId="77777777" w:rsidR="00662ACB" w:rsidRPr="00662ACB" w:rsidRDefault="00662ACB" w:rsidP="00662ACB">
            <w:pPr>
              <w:jc w:val="both"/>
              <w:rPr>
                <w:rFonts w:ascii="Times New Roman" w:hAnsi="Times New Roman" w:cs="Times New Roman"/>
                <w:sz w:val="24"/>
                <w:szCs w:val="24"/>
              </w:rPr>
            </w:pPr>
          </w:p>
        </w:tc>
        <w:tc>
          <w:tcPr>
            <w:tcW w:w="2122" w:type="dxa"/>
          </w:tcPr>
          <w:p w14:paraId="59E27A95" w14:textId="77777777" w:rsidR="00662ACB" w:rsidRPr="00662ACB" w:rsidRDefault="00662ACB" w:rsidP="00662ACB">
            <w:pPr>
              <w:jc w:val="center"/>
              <w:rPr>
                <w:rFonts w:ascii="Times New Roman" w:hAnsi="Times New Roman" w:cs="Times New Roman"/>
                <w:bCs/>
                <w:iCs/>
                <w:sz w:val="24"/>
                <w:szCs w:val="24"/>
              </w:rPr>
            </w:pPr>
            <w:r w:rsidRPr="00662ACB">
              <w:rPr>
                <w:rFonts w:ascii="Times New Roman" w:hAnsi="Times New Roman" w:cs="Times New Roman"/>
                <w:bCs/>
                <w:iCs/>
                <w:sz w:val="24"/>
                <w:szCs w:val="24"/>
              </w:rPr>
              <w:t>2019–2020</w:t>
            </w:r>
          </w:p>
          <w:p w14:paraId="59E27A96" w14:textId="77777777" w:rsidR="00662ACB" w:rsidRPr="00662ACB" w:rsidRDefault="00662ACB" w:rsidP="00662ACB">
            <w:pPr>
              <w:jc w:val="center"/>
              <w:rPr>
                <w:rFonts w:ascii="Times New Roman" w:hAnsi="Times New Roman" w:cs="Times New Roman"/>
                <w:bCs/>
                <w:iCs/>
                <w:sz w:val="24"/>
                <w:szCs w:val="24"/>
              </w:rPr>
            </w:pPr>
            <w:r w:rsidRPr="00662ACB">
              <w:rPr>
                <w:rFonts w:ascii="Times New Roman" w:hAnsi="Times New Roman" w:cs="Times New Roman"/>
                <w:bCs/>
                <w:iCs/>
                <w:sz w:val="24"/>
                <w:szCs w:val="24"/>
              </w:rPr>
              <w:t>m. m.</w:t>
            </w:r>
          </w:p>
        </w:tc>
        <w:tc>
          <w:tcPr>
            <w:tcW w:w="1701" w:type="dxa"/>
          </w:tcPr>
          <w:p w14:paraId="59E27A97" w14:textId="77777777" w:rsidR="00662ACB" w:rsidRPr="00662ACB" w:rsidRDefault="00662ACB" w:rsidP="00662ACB">
            <w:pPr>
              <w:jc w:val="center"/>
              <w:rPr>
                <w:rFonts w:ascii="Times New Roman" w:hAnsi="Times New Roman" w:cs="Times New Roman"/>
                <w:bCs/>
                <w:iCs/>
                <w:sz w:val="24"/>
                <w:szCs w:val="24"/>
              </w:rPr>
            </w:pPr>
            <w:r w:rsidRPr="00662ACB">
              <w:rPr>
                <w:rFonts w:ascii="Times New Roman" w:hAnsi="Times New Roman" w:cs="Times New Roman"/>
                <w:bCs/>
                <w:iCs/>
                <w:sz w:val="24"/>
                <w:szCs w:val="24"/>
              </w:rPr>
              <w:t>2020–2021 m. m.</w:t>
            </w:r>
          </w:p>
        </w:tc>
        <w:tc>
          <w:tcPr>
            <w:tcW w:w="1984" w:type="dxa"/>
          </w:tcPr>
          <w:p w14:paraId="59E27A98" w14:textId="77777777" w:rsidR="00662ACB" w:rsidRPr="00662ACB" w:rsidRDefault="00662ACB" w:rsidP="00662ACB">
            <w:pPr>
              <w:jc w:val="center"/>
              <w:rPr>
                <w:rFonts w:ascii="Times New Roman" w:hAnsi="Times New Roman" w:cs="Times New Roman"/>
                <w:bCs/>
                <w:iCs/>
                <w:sz w:val="24"/>
                <w:szCs w:val="24"/>
              </w:rPr>
            </w:pPr>
            <w:r w:rsidRPr="00662ACB">
              <w:rPr>
                <w:rFonts w:ascii="Times New Roman" w:hAnsi="Times New Roman" w:cs="Times New Roman"/>
                <w:bCs/>
                <w:iCs/>
                <w:sz w:val="24"/>
                <w:szCs w:val="24"/>
              </w:rPr>
              <w:t xml:space="preserve">2021–2022 m. m. </w:t>
            </w:r>
          </w:p>
        </w:tc>
      </w:tr>
      <w:tr w:rsidR="00662ACB" w:rsidRPr="00662ACB" w14:paraId="59E27A9E" w14:textId="77777777" w:rsidTr="00C4079A">
        <w:trPr>
          <w:trHeight w:val="266"/>
        </w:trPr>
        <w:tc>
          <w:tcPr>
            <w:tcW w:w="3402" w:type="dxa"/>
          </w:tcPr>
          <w:p w14:paraId="59E27A9A" w14:textId="77777777" w:rsidR="00662ACB" w:rsidRPr="00662ACB" w:rsidRDefault="00662ACB" w:rsidP="00662ACB">
            <w:pPr>
              <w:rPr>
                <w:rFonts w:ascii="Times New Roman" w:hAnsi="Times New Roman" w:cs="Times New Roman"/>
                <w:sz w:val="24"/>
                <w:szCs w:val="24"/>
              </w:rPr>
            </w:pPr>
            <w:r w:rsidRPr="00662ACB">
              <w:rPr>
                <w:rFonts w:ascii="Times New Roman" w:hAnsi="Times New Roman" w:cs="Times New Roman"/>
                <w:sz w:val="24"/>
                <w:szCs w:val="24"/>
              </w:rPr>
              <w:t>Bendrojo ugdymo įstaigose</w:t>
            </w:r>
          </w:p>
        </w:tc>
        <w:tc>
          <w:tcPr>
            <w:tcW w:w="2122" w:type="dxa"/>
          </w:tcPr>
          <w:p w14:paraId="59E27A9B"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512</w:t>
            </w:r>
          </w:p>
        </w:tc>
        <w:tc>
          <w:tcPr>
            <w:tcW w:w="1701" w:type="dxa"/>
          </w:tcPr>
          <w:p w14:paraId="59E27A9C"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471</w:t>
            </w:r>
          </w:p>
        </w:tc>
        <w:tc>
          <w:tcPr>
            <w:tcW w:w="1984" w:type="dxa"/>
          </w:tcPr>
          <w:p w14:paraId="59E27A9D"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470</w:t>
            </w:r>
          </w:p>
        </w:tc>
      </w:tr>
      <w:tr w:rsidR="00662ACB" w:rsidRPr="00662ACB" w14:paraId="59E27AA3" w14:textId="77777777" w:rsidTr="00C4079A">
        <w:trPr>
          <w:trHeight w:val="272"/>
        </w:trPr>
        <w:tc>
          <w:tcPr>
            <w:tcW w:w="3402" w:type="dxa"/>
          </w:tcPr>
          <w:p w14:paraId="59E27A9F" w14:textId="77777777" w:rsidR="00662ACB" w:rsidRPr="00662ACB" w:rsidRDefault="00662ACB" w:rsidP="00662ACB">
            <w:pPr>
              <w:rPr>
                <w:rFonts w:ascii="Times New Roman" w:hAnsi="Times New Roman" w:cs="Times New Roman"/>
                <w:sz w:val="24"/>
                <w:szCs w:val="24"/>
              </w:rPr>
            </w:pPr>
            <w:r w:rsidRPr="00662ACB">
              <w:rPr>
                <w:rFonts w:ascii="Times New Roman" w:hAnsi="Times New Roman" w:cs="Times New Roman"/>
                <w:sz w:val="24"/>
                <w:szCs w:val="24"/>
              </w:rPr>
              <w:t>Ikimokyklinio ugdymo įstaigose</w:t>
            </w:r>
          </w:p>
        </w:tc>
        <w:tc>
          <w:tcPr>
            <w:tcW w:w="2122" w:type="dxa"/>
          </w:tcPr>
          <w:p w14:paraId="59E27AA0"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123</w:t>
            </w:r>
          </w:p>
        </w:tc>
        <w:tc>
          <w:tcPr>
            <w:tcW w:w="1701" w:type="dxa"/>
          </w:tcPr>
          <w:p w14:paraId="59E27AA1"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122</w:t>
            </w:r>
          </w:p>
        </w:tc>
        <w:tc>
          <w:tcPr>
            <w:tcW w:w="1984" w:type="dxa"/>
          </w:tcPr>
          <w:p w14:paraId="59E27AA2"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129</w:t>
            </w:r>
          </w:p>
        </w:tc>
      </w:tr>
      <w:tr w:rsidR="00662ACB" w:rsidRPr="00662ACB" w14:paraId="59E27AA8" w14:textId="77777777" w:rsidTr="00C4079A">
        <w:trPr>
          <w:trHeight w:val="260"/>
        </w:trPr>
        <w:tc>
          <w:tcPr>
            <w:tcW w:w="3402" w:type="dxa"/>
          </w:tcPr>
          <w:p w14:paraId="59E27AA4" w14:textId="77777777" w:rsidR="00662ACB" w:rsidRPr="00662ACB" w:rsidRDefault="00662ACB" w:rsidP="00662ACB">
            <w:pPr>
              <w:rPr>
                <w:rFonts w:ascii="Times New Roman" w:hAnsi="Times New Roman" w:cs="Times New Roman"/>
                <w:sz w:val="24"/>
                <w:szCs w:val="24"/>
              </w:rPr>
            </w:pPr>
            <w:r w:rsidRPr="00662ACB">
              <w:rPr>
                <w:rFonts w:ascii="Times New Roman" w:hAnsi="Times New Roman" w:cs="Times New Roman"/>
                <w:sz w:val="24"/>
                <w:szCs w:val="24"/>
              </w:rPr>
              <w:t>Neformaliojo švietimo įstaigose</w:t>
            </w:r>
          </w:p>
        </w:tc>
        <w:tc>
          <w:tcPr>
            <w:tcW w:w="2122" w:type="dxa"/>
          </w:tcPr>
          <w:p w14:paraId="59E27AA5"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87</w:t>
            </w:r>
          </w:p>
        </w:tc>
        <w:tc>
          <w:tcPr>
            <w:tcW w:w="1701" w:type="dxa"/>
          </w:tcPr>
          <w:p w14:paraId="59E27AA6"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91</w:t>
            </w:r>
          </w:p>
        </w:tc>
        <w:tc>
          <w:tcPr>
            <w:tcW w:w="1984" w:type="dxa"/>
          </w:tcPr>
          <w:p w14:paraId="59E27AA7" w14:textId="77777777" w:rsidR="00662ACB" w:rsidRPr="00662ACB" w:rsidRDefault="00662ACB" w:rsidP="00662ACB">
            <w:pPr>
              <w:jc w:val="center"/>
              <w:rPr>
                <w:rFonts w:ascii="Times New Roman" w:hAnsi="Times New Roman" w:cs="Times New Roman"/>
                <w:sz w:val="24"/>
                <w:szCs w:val="24"/>
              </w:rPr>
            </w:pPr>
            <w:r w:rsidRPr="00662ACB">
              <w:rPr>
                <w:rFonts w:ascii="Times New Roman" w:hAnsi="Times New Roman" w:cs="Times New Roman"/>
                <w:sz w:val="24"/>
                <w:szCs w:val="24"/>
              </w:rPr>
              <w:t>90</w:t>
            </w:r>
          </w:p>
        </w:tc>
      </w:tr>
      <w:tr w:rsidR="00662ACB" w:rsidRPr="00662ACB" w14:paraId="59E27AAD" w14:textId="77777777" w:rsidTr="00D431D4">
        <w:trPr>
          <w:trHeight w:val="264"/>
        </w:trPr>
        <w:tc>
          <w:tcPr>
            <w:tcW w:w="3402" w:type="dxa"/>
            <w:shd w:val="clear" w:color="auto" w:fill="DEEAF6" w:themeFill="accent1" w:themeFillTint="33"/>
          </w:tcPr>
          <w:p w14:paraId="59E27AA9" w14:textId="77777777" w:rsidR="00662ACB" w:rsidRPr="00662ACB" w:rsidRDefault="00662ACB" w:rsidP="00662ACB">
            <w:pPr>
              <w:rPr>
                <w:rFonts w:ascii="Times New Roman" w:hAnsi="Times New Roman" w:cs="Times New Roman"/>
                <w:bCs/>
                <w:sz w:val="24"/>
                <w:szCs w:val="24"/>
              </w:rPr>
            </w:pPr>
            <w:r w:rsidRPr="00662ACB">
              <w:rPr>
                <w:rFonts w:ascii="Times New Roman" w:hAnsi="Times New Roman" w:cs="Times New Roman"/>
                <w:bCs/>
                <w:sz w:val="24"/>
                <w:szCs w:val="24"/>
              </w:rPr>
              <w:t>Iš viso</w:t>
            </w:r>
          </w:p>
        </w:tc>
        <w:tc>
          <w:tcPr>
            <w:tcW w:w="2122" w:type="dxa"/>
            <w:shd w:val="clear" w:color="auto" w:fill="DEEAF6" w:themeFill="accent1" w:themeFillTint="33"/>
          </w:tcPr>
          <w:p w14:paraId="59E27AAA" w14:textId="77777777" w:rsidR="00662ACB" w:rsidRPr="00662ACB" w:rsidRDefault="00662ACB" w:rsidP="00662ACB">
            <w:pPr>
              <w:jc w:val="center"/>
              <w:rPr>
                <w:rFonts w:ascii="Times New Roman" w:hAnsi="Times New Roman" w:cs="Times New Roman"/>
                <w:bCs/>
                <w:sz w:val="24"/>
                <w:szCs w:val="24"/>
              </w:rPr>
            </w:pPr>
            <w:r w:rsidRPr="00662ACB">
              <w:rPr>
                <w:rFonts w:ascii="Times New Roman" w:hAnsi="Times New Roman" w:cs="Times New Roman"/>
                <w:bCs/>
                <w:sz w:val="24"/>
                <w:szCs w:val="24"/>
              </w:rPr>
              <w:t>722</w:t>
            </w:r>
          </w:p>
        </w:tc>
        <w:tc>
          <w:tcPr>
            <w:tcW w:w="1701" w:type="dxa"/>
            <w:shd w:val="clear" w:color="auto" w:fill="DEEAF6" w:themeFill="accent1" w:themeFillTint="33"/>
          </w:tcPr>
          <w:p w14:paraId="59E27AAB" w14:textId="77777777" w:rsidR="00662ACB" w:rsidRPr="00662ACB" w:rsidRDefault="00662ACB" w:rsidP="00662ACB">
            <w:pPr>
              <w:jc w:val="center"/>
              <w:rPr>
                <w:rFonts w:ascii="Times New Roman" w:hAnsi="Times New Roman" w:cs="Times New Roman"/>
                <w:bCs/>
                <w:sz w:val="24"/>
                <w:szCs w:val="24"/>
              </w:rPr>
            </w:pPr>
            <w:r w:rsidRPr="00662ACB">
              <w:rPr>
                <w:rFonts w:ascii="Times New Roman" w:hAnsi="Times New Roman" w:cs="Times New Roman"/>
                <w:bCs/>
                <w:sz w:val="24"/>
                <w:szCs w:val="24"/>
              </w:rPr>
              <w:t>684</w:t>
            </w:r>
          </w:p>
        </w:tc>
        <w:tc>
          <w:tcPr>
            <w:tcW w:w="1984" w:type="dxa"/>
            <w:shd w:val="clear" w:color="auto" w:fill="DEEAF6" w:themeFill="accent1" w:themeFillTint="33"/>
          </w:tcPr>
          <w:p w14:paraId="59E27AAC" w14:textId="77777777" w:rsidR="00662ACB" w:rsidRPr="00662ACB" w:rsidRDefault="00662ACB" w:rsidP="00662ACB">
            <w:pPr>
              <w:jc w:val="center"/>
              <w:rPr>
                <w:rFonts w:ascii="Times New Roman" w:hAnsi="Times New Roman" w:cs="Times New Roman"/>
                <w:bCs/>
                <w:sz w:val="24"/>
                <w:szCs w:val="24"/>
              </w:rPr>
            </w:pPr>
            <w:r w:rsidRPr="00662ACB">
              <w:rPr>
                <w:rFonts w:ascii="Times New Roman" w:hAnsi="Times New Roman" w:cs="Times New Roman"/>
                <w:bCs/>
                <w:sz w:val="24"/>
                <w:szCs w:val="24"/>
              </w:rPr>
              <w:t>689</w:t>
            </w:r>
          </w:p>
        </w:tc>
      </w:tr>
    </w:tbl>
    <w:p w14:paraId="59E27AAE" w14:textId="77777777" w:rsidR="00662ACB" w:rsidRDefault="00662ACB" w:rsidP="00662ACB">
      <w:pPr>
        <w:spacing w:after="0" w:line="240" w:lineRule="auto"/>
      </w:pPr>
    </w:p>
    <w:p w14:paraId="59E27AAF" w14:textId="77777777" w:rsidR="00662ACB" w:rsidRDefault="00C4079A" w:rsidP="002304D9">
      <w:pPr>
        <w:shd w:val="clear" w:color="auto" w:fill="FFFFFF" w:themeFill="background1"/>
        <w:tabs>
          <w:tab w:val="left" w:pos="709"/>
          <w:tab w:val="left" w:pos="993"/>
        </w:tabs>
        <w:spacing w:after="0" w:line="240" w:lineRule="auto"/>
        <w:ind w:right="28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2ACB" w:rsidRPr="00662ACB">
        <w:rPr>
          <w:rFonts w:ascii="Times New Roman" w:eastAsia="Times New Roman" w:hAnsi="Times New Roman" w:cs="Times New Roman"/>
          <w:sz w:val="24"/>
          <w:szCs w:val="24"/>
        </w:rPr>
        <w:t xml:space="preserve">Per dvejus metus nuo 2019 iki 2021 m. padidėjo mokytojų dalis, kurie turi pilną krūvį </w:t>
      </w:r>
      <w:r w:rsidR="00662ACB">
        <w:rPr>
          <w:rFonts w:ascii="Times New Roman" w:eastAsia="Times New Roman" w:hAnsi="Times New Roman" w:cs="Times New Roman"/>
          <w:sz w:val="24"/>
          <w:szCs w:val="24"/>
        </w:rPr>
        <w:t>(</w:t>
      </w:r>
      <w:r w:rsidR="00662ACB" w:rsidRPr="00662ACB">
        <w:rPr>
          <w:rFonts w:ascii="Times New Roman" w:eastAsia="Times New Roman" w:hAnsi="Times New Roman" w:cs="Times New Roman"/>
          <w:sz w:val="24"/>
          <w:szCs w:val="24"/>
        </w:rPr>
        <w:t>nuo 30,4 proc. iki 42,3 proc</w:t>
      </w:r>
      <w:r>
        <w:rPr>
          <w:rFonts w:ascii="Times New Roman" w:eastAsia="Times New Roman" w:hAnsi="Times New Roman" w:cs="Times New Roman"/>
          <w:sz w:val="24"/>
          <w:szCs w:val="24"/>
        </w:rPr>
        <w:t>.</w:t>
      </w:r>
      <w:r w:rsidR="00662ACB">
        <w:rPr>
          <w:rFonts w:ascii="Times New Roman" w:eastAsia="Times New Roman" w:hAnsi="Times New Roman" w:cs="Times New Roman"/>
          <w:sz w:val="24"/>
          <w:szCs w:val="24"/>
        </w:rPr>
        <w:t>)</w:t>
      </w:r>
      <w:r w:rsidR="00662ACB" w:rsidRPr="00662ACB">
        <w:rPr>
          <w:rFonts w:ascii="Times New Roman" w:eastAsia="Times New Roman" w:hAnsi="Times New Roman" w:cs="Times New Roman"/>
          <w:sz w:val="24"/>
          <w:szCs w:val="24"/>
        </w:rPr>
        <w:t>. Mokinių skaičiaus, tenkančio vienai sąlyginei mokytojo pareigybei, mažėjimo tendencija pateikta  lentelėje</w:t>
      </w:r>
      <w:r w:rsidR="00662ACB">
        <w:rPr>
          <w:rFonts w:ascii="Times New Roman" w:eastAsia="Times New Roman" w:hAnsi="Times New Roman" w:cs="Times New Roman"/>
          <w:sz w:val="24"/>
          <w:szCs w:val="24"/>
        </w:rPr>
        <w:t>:</w:t>
      </w:r>
    </w:p>
    <w:p w14:paraId="59E27AB0" w14:textId="77777777" w:rsidR="00662ACB" w:rsidRPr="00662ACB" w:rsidRDefault="00662ACB" w:rsidP="00662ACB">
      <w:pPr>
        <w:shd w:val="clear" w:color="auto" w:fill="FFFFFF" w:themeFill="background1"/>
        <w:tabs>
          <w:tab w:val="left" w:pos="709"/>
          <w:tab w:val="left" w:pos="993"/>
        </w:tabs>
        <w:spacing w:after="0" w:line="240" w:lineRule="auto"/>
        <w:contextualSpacing/>
        <w:jc w:val="both"/>
        <w:rPr>
          <w:rFonts w:ascii="Times New Roman" w:eastAsia="Times New Roman" w:hAnsi="Times New Roman" w:cs="Times New Roman"/>
          <w:sz w:val="24"/>
          <w:szCs w:val="24"/>
        </w:rPr>
      </w:pPr>
    </w:p>
    <w:tbl>
      <w:tblPr>
        <w:tblStyle w:val="Lentelstinklelis1"/>
        <w:tblW w:w="9072" w:type="dxa"/>
        <w:tblInd w:w="137" w:type="dxa"/>
        <w:tblLook w:val="04A0" w:firstRow="1" w:lastRow="0" w:firstColumn="1" w:lastColumn="0" w:noHBand="0" w:noVBand="1"/>
      </w:tblPr>
      <w:tblGrid>
        <w:gridCol w:w="4253"/>
        <w:gridCol w:w="1559"/>
        <w:gridCol w:w="1562"/>
        <w:gridCol w:w="1698"/>
      </w:tblGrid>
      <w:tr w:rsidR="00662ACB" w:rsidRPr="00662ACB" w14:paraId="59E27AB5" w14:textId="77777777" w:rsidTr="000E451F">
        <w:tc>
          <w:tcPr>
            <w:tcW w:w="4253" w:type="dxa"/>
            <w:shd w:val="clear" w:color="auto" w:fill="DEEAF6" w:themeFill="accent1" w:themeFillTint="33"/>
          </w:tcPr>
          <w:p w14:paraId="59E27AB1"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Kriterijus</w:t>
            </w:r>
          </w:p>
        </w:tc>
        <w:tc>
          <w:tcPr>
            <w:tcW w:w="1559" w:type="dxa"/>
            <w:shd w:val="clear" w:color="auto" w:fill="DEEAF6" w:themeFill="accent1" w:themeFillTint="33"/>
          </w:tcPr>
          <w:p w14:paraId="59E27AB2" w14:textId="77777777" w:rsidR="00662ACB" w:rsidRPr="00662ACB" w:rsidRDefault="00662ACB" w:rsidP="000E451F">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2019-09-01</w:t>
            </w:r>
          </w:p>
        </w:tc>
        <w:tc>
          <w:tcPr>
            <w:tcW w:w="1562" w:type="dxa"/>
            <w:shd w:val="clear" w:color="auto" w:fill="DEEAF6" w:themeFill="accent1" w:themeFillTint="33"/>
          </w:tcPr>
          <w:p w14:paraId="59E27AB3"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2020-09-01</w:t>
            </w:r>
          </w:p>
        </w:tc>
        <w:tc>
          <w:tcPr>
            <w:tcW w:w="1698" w:type="dxa"/>
            <w:shd w:val="clear" w:color="auto" w:fill="DEEAF6" w:themeFill="accent1" w:themeFillTint="33"/>
          </w:tcPr>
          <w:p w14:paraId="59E27AB4"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2021-09-01</w:t>
            </w:r>
          </w:p>
        </w:tc>
      </w:tr>
      <w:tr w:rsidR="00662ACB" w:rsidRPr="00662ACB" w14:paraId="59E27ABA" w14:textId="77777777" w:rsidTr="000E451F">
        <w:tc>
          <w:tcPr>
            <w:tcW w:w="4253" w:type="dxa"/>
          </w:tcPr>
          <w:p w14:paraId="59E27AB6"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Vienai sąlyginei mokytojo pareigybei tenkančių mokinių skaičius</w:t>
            </w:r>
          </w:p>
        </w:tc>
        <w:tc>
          <w:tcPr>
            <w:tcW w:w="1559" w:type="dxa"/>
          </w:tcPr>
          <w:p w14:paraId="59E27AB7" w14:textId="77777777" w:rsidR="00662ACB" w:rsidRPr="00662ACB" w:rsidRDefault="00662ACB" w:rsidP="00662ACB">
            <w:pPr>
              <w:tabs>
                <w:tab w:val="left" w:pos="709"/>
                <w:tab w:val="left" w:pos="993"/>
              </w:tabs>
              <w:contextualSpacing/>
              <w:jc w:val="center"/>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35,2</w:t>
            </w:r>
          </w:p>
        </w:tc>
        <w:tc>
          <w:tcPr>
            <w:tcW w:w="1562" w:type="dxa"/>
          </w:tcPr>
          <w:p w14:paraId="59E27AB8" w14:textId="77777777" w:rsidR="00662ACB" w:rsidRPr="00662ACB" w:rsidRDefault="00662ACB" w:rsidP="00662ACB">
            <w:pPr>
              <w:tabs>
                <w:tab w:val="left" w:pos="709"/>
                <w:tab w:val="left" w:pos="993"/>
              </w:tabs>
              <w:contextualSpacing/>
              <w:jc w:val="center"/>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34,0</w:t>
            </w:r>
          </w:p>
        </w:tc>
        <w:tc>
          <w:tcPr>
            <w:tcW w:w="1698" w:type="dxa"/>
          </w:tcPr>
          <w:p w14:paraId="59E27AB9" w14:textId="77777777" w:rsidR="00662ACB" w:rsidRPr="00662ACB" w:rsidRDefault="00662ACB" w:rsidP="00662ACB">
            <w:pPr>
              <w:tabs>
                <w:tab w:val="left" w:pos="709"/>
                <w:tab w:val="left" w:pos="993"/>
              </w:tabs>
              <w:contextualSpacing/>
              <w:jc w:val="center"/>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26,5</w:t>
            </w:r>
          </w:p>
        </w:tc>
      </w:tr>
    </w:tbl>
    <w:p w14:paraId="59E27ABB" w14:textId="77777777" w:rsidR="00662ACB" w:rsidRDefault="00662ACB" w:rsidP="00662ACB">
      <w:pPr>
        <w:spacing w:after="0" w:line="240" w:lineRule="auto"/>
      </w:pPr>
    </w:p>
    <w:p w14:paraId="59E27ABC" w14:textId="77777777" w:rsidR="00662ACB" w:rsidRDefault="00662ACB" w:rsidP="00662ACB">
      <w:pPr>
        <w:spacing w:after="0" w:line="240" w:lineRule="auto"/>
      </w:pPr>
    </w:p>
    <w:p w14:paraId="59E27ABD" w14:textId="77777777" w:rsidR="00625CDF" w:rsidRDefault="00625CDF" w:rsidP="00DB1EDD">
      <w:pPr>
        <w:spacing w:after="0" w:line="240" w:lineRule="auto"/>
        <w:jc w:val="center"/>
        <w:rPr>
          <w:rFonts w:ascii="Times New Roman" w:eastAsia="Calibri" w:hAnsi="Times New Roman" w:cs="Times New Roman"/>
          <w:b/>
          <w:sz w:val="24"/>
          <w:szCs w:val="24"/>
        </w:rPr>
      </w:pPr>
    </w:p>
    <w:p w14:paraId="59E27ABE" w14:textId="77777777" w:rsidR="00662ACB" w:rsidRPr="00DB1EDD" w:rsidRDefault="00DB1EDD" w:rsidP="00DB1EDD">
      <w:pPr>
        <w:spacing w:after="0" w:line="240" w:lineRule="auto"/>
        <w:jc w:val="center"/>
        <w:rPr>
          <w:rFonts w:ascii="Times New Roman" w:hAnsi="Times New Roman" w:cs="Times New Roman"/>
          <w:b/>
          <w:sz w:val="24"/>
          <w:szCs w:val="24"/>
        </w:rPr>
      </w:pPr>
      <w:r w:rsidRPr="00662ACB">
        <w:rPr>
          <w:rFonts w:ascii="Times New Roman" w:eastAsia="Calibri" w:hAnsi="Times New Roman" w:cs="Times New Roman"/>
          <w:b/>
          <w:sz w:val="24"/>
          <w:szCs w:val="24"/>
        </w:rPr>
        <w:lastRenderedPageBreak/>
        <w:t>Jaunesnių nei 50 metų mokytojų</w:t>
      </w:r>
      <w:r w:rsidRPr="00DB1EDD">
        <w:rPr>
          <w:rFonts w:ascii="Times New Roman" w:eastAsia="Calibri" w:hAnsi="Times New Roman" w:cs="Times New Roman"/>
          <w:b/>
          <w:sz w:val="24"/>
          <w:szCs w:val="24"/>
        </w:rPr>
        <w:t xml:space="preserve"> bei 50 metų ir vyresnio amžiaus mokytojų skaičiaus santykis bendrojo ugdymo ir ikimokyklinio ugdymo mokyklose</w:t>
      </w:r>
    </w:p>
    <w:p w14:paraId="59E27ABF" w14:textId="77777777" w:rsidR="00662ACB" w:rsidRDefault="00662ACB" w:rsidP="00662ACB">
      <w:pPr>
        <w:spacing w:after="0" w:line="240" w:lineRule="auto"/>
      </w:pPr>
    </w:p>
    <w:tbl>
      <w:tblPr>
        <w:tblStyle w:val="Lentelstinklelis2"/>
        <w:tblW w:w="0" w:type="auto"/>
        <w:tblLook w:val="04A0" w:firstRow="1" w:lastRow="0" w:firstColumn="1" w:lastColumn="0" w:noHBand="0" w:noVBand="1"/>
      </w:tblPr>
      <w:tblGrid>
        <w:gridCol w:w="1555"/>
        <w:gridCol w:w="2551"/>
        <w:gridCol w:w="2552"/>
        <w:gridCol w:w="1275"/>
        <w:gridCol w:w="1560"/>
      </w:tblGrid>
      <w:tr w:rsidR="00662ACB" w:rsidRPr="00662ACB" w14:paraId="59E27AC8" w14:textId="77777777" w:rsidTr="00D03DA7">
        <w:tc>
          <w:tcPr>
            <w:tcW w:w="1555" w:type="dxa"/>
            <w:shd w:val="clear" w:color="auto" w:fill="DEEAF6" w:themeFill="accent1" w:themeFillTint="33"/>
          </w:tcPr>
          <w:p w14:paraId="59E27AC0" w14:textId="77777777" w:rsidR="00662ACB" w:rsidRPr="00D03DA7" w:rsidRDefault="00662ACB" w:rsidP="00662ACB">
            <w:pPr>
              <w:rPr>
                <w:rFonts w:ascii="Times New Roman" w:eastAsia="Calibri" w:hAnsi="Times New Roman" w:cs="Times New Roman"/>
                <w:b/>
              </w:rPr>
            </w:pPr>
          </w:p>
          <w:p w14:paraId="59E27AC1" w14:textId="77777777" w:rsidR="00662ACB" w:rsidRPr="00D03DA7" w:rsidRDefault="00662ACB" w:rsidP="00662ACB">
            <w:pPr>
              <w:rPr>
                <w:rFonts w:ascii="Times New Roman" w:eastAsia="Calibri" w:hAnsi="Times New Roman" w:cs="Times New Roman"/>
                <w:b/>
              </w:rPr>
            </w:pPr>
            <w:r w:rsidRPr="00D03DA7">
              <w:rPr>
                <w:rFonts w:ascii="Times New Roman" w:eastAsia="Calibri" w:hAnsi="Times New Roman" w:cs="Times New Roman"/>
                <w:b/>
              </w:rPr>
              <w:t>Mokslo metai</w:t>
            </w:r>
          </w:p>
        </w:tc>
        <w:tc>
          <w:tcPr>
            <w:tcW w:w="2551" w:type="dxa"/>
            <w:shd w:val="clear" w:color="auto" w:fill="DEEAF6" w:themeFill="accent1" w:themeFillTint="33"/>
          </w:tcPr>
          <w:p w14:paraId="59E27AC2" w14:textId="77777777" w:rsidR="00662ACB" w:rsidRPr="00D03DA7" w:rsidRDefault="00662ACB" w:rsidP="00662ACB">
            <w:pPr>
              <w:rPr>
                <w:rFonts w:ascii="Times New Roman" w:eastAsia="Calibri" w:hAnsi="Times New Roman" w:cs="Times New Roman"/>
                <w:b/>
              </w:rPr>
            </w:pPr>
            <w:r w:rsidRPr="00D03DA7">
              <w:rPr>
                <w:rFonts w:ascii="Times New Roman" w:eastAsia="Calibri" w:hAnsi="Times New Roman" w:cs="Times New Roman"/>
                <w:b/>
              </w:rPr>
              <w:t xml:space="preserve">Jaunesnių nei 50 metų amžiaus mokytojų </w:t>
            </w:r>
            <w:r w:rsidRPr="00D03DA7">
              <w:rPr>
                <w:rFonts w:ascii="Times New Roman" w:eastAsia="Calibri" w:hAnsi="Times New Roman" w:cs="Times New Roman"/>
                <w:b/>
                <w:i/>
              </w:rPr>
              <w:t xml:space="preserve">skaičius </w:t>
            </w:r>
            <w:r w:rsidRPr="00D03DA7">
              <w:rPr>
                <w:rFonts w:ascii="Times New Roman" w:eastAsia="Calibri" w:hAnsi="Times New Roman" w:cs="Times New Roman"/>
                <w:b/>
              </w:rPr>
              <w:t xml:space="preserve">ir </w:t>
            </w:r>
            <w:r w:rsidRPr="00D03DA7">
              <w:rPr>
                <w:rFonts w:ascii="Times New Roman" w:eastAsia="Calibri" w:hAnsi="Times New Roman" w:cs="Times New Roman"/>
                <w:b/>
                <w:i/>
              </w:rPr>
              <w:t>proc.</w:t>
            </w:r>
            <w:r w:rsidRPr="00D03DA7">
              <w:rPr>
                <w:rFonts w:ascii="Times New Roman" w:eastAsia="Calibri" w:hAnsi="Times New Roman" w:cs="Times New Roman"/>
                <w:b/>
              </w:rPr>
              <w:t xml:space="preserve"> nuo visų pedagogų skaičiaus</w:t>
            </w:r>
          </w:p>
        </w:tc>
        <w:tc>
          <w:tcPr>
            <w:tcW w:w="2552" w:type="dxa"/>
            <w:shd w:val="clear" w:color="auto" w:fill="DEEAF6" w:themeFill="accent1" w:themeFillTint="33"/>
          </w:tcPr>
          <w:p w14:paraId="59E27AC3" w14:textId="77777777" w:rsidR="00662ACB" w:rsidRPr="00D03DA7" w:rsidRDefault="00662ACB" w:rsidP="00662ACB">
            <w:pPr>
              <w:rPr>
                <w:rFonts w:ascii="Times New Roman" w:eastAsia="Calibri" w:hAnsi="Times New Roman" w:cs="Times New Roman"/>
                <w:b/>
              </w:rPr>
            </w:pPr>
            <w:r w:rsidRPr="00D03DA7">
              <w:rPr>
                <w:rFonts w:ascii="Times New Roman" w:eastAsia="Calibri" w:hAnsi="Times New Roman" w:cs="Times New Roman"/>
                <w:b/>
              </w:rPr>
              <w:t xml:space="preserve">50 metų ir vyresnio amžiaus mokytojų </w:t>
            </w:r>
            <w:r w:rsidRPr="00D03DA7">
              <w:rPr>
                <w:rFonts w:ascii="Times New Roman" w:eastAsia="Calibri" w:hAnsi="Times New Roman" w:cs="Times New Roman"/>
                <w:b/>
                <w:i/>
              </w:rPr>
              <w:t>skaičius ir proc</w:t>
            </w:r>
            <w:r w:rsidRPr="00D03DA7">
              <w:rPr>
                <w:rFonts w:ascii="Times New Roman" w:eastAsia="Calibri" w:hAnsi="Times New Roman" w:cs="Times New Roman"/>
                <w:b/>
              </w:rPr>
              <w:t>. nuo visų pedagogų skaičiaus</w:t>
            </w:r>
          </w:p>
        </w:tc>
        <w:tc>
          <w:tcPr>
            <w:tcW w:w="1275" w:type="dxa"/>
            <w:shd w:val="clear" w:color="auto" w:fill="DEEAF6" w:themeFill="accent1" w:themeFillTint="33"/>
          </w:tcPr>
          <w:p w14:paraId="59E27AC4" w14:textId="77777777" w:rsidR="00662ACB" w:rsidRPr="00D03DA7" w:rsidRDefault="00662ACB" w:rsidP="00662ACB">
            <w:pPr>
              <w:rPr>
                <w:rFonts w:ascii="Times New Roman" w:eastAsia="Calibri" w:hAnsi="Times New Roman" w:cs="Times New Roman"/>
                <w:b/>
              </w:rPr>
            </w:pPr>
          </w:p>
          <w:p w14:paraId="59E27AC5" w14:textId="77777777" w:rsidR="00662ACB" w:rsidRPr="00D03DA7" w:rsidRDefault="00662ACB" w:rsidP="00662ACB">
            <w:pPr>
              <w:rPr>
                <w:rFonts w:ascii="Times New Roman" w:eastAsia="Calibri" w:hAnsi="Times New Roman" w:cs="Times New Roman"/>
                <w:b/>
              </w:rPr>
            </w:pPr>
            <w:r w:rsidRPr="00D03DA7">
              <w:rPr>
                <w:rFonts w:ascii="Times New Roman" w:eastAsia="Calibri" w:hAnsi="Times New Roman" w:cs="Times New Roman"/>
                <w:b/>
              </w:rPr>
              <w:t>Skaičiaus santykis</w:t>
            </w:r>
          </w:p>
          <w:p w14:paraId="59E27AC6" w14:textId="77777777" w:rsidR="00662ACB" w:rsidRPr="00D03DA7" w:rsidRDefault="00662ACB" w:rsidP="00662ACB">
            <w:pPr>
              <w:rPr>
                <w:rFonts w:ascii="Times New Roman" w:eastAsia="Calibri" w:hAnsi="Times New Roman" w:cs="Times New Roman"/>
                <w:b/>
              </w:rPr>
            </w:pPr>
            <w:r w:rsidRPr="00D03DA7">
              <w:rPr>
                <w:rFonts w:ascii="Times New Roman" w:eastAsia="Calibri" w:hAnsi="Times New Roman" w:cs="Times New Roman"/>
                <w:b/>
              </w:rPr>
              <w:t>(</w:t>
            </w:r>
            <w:r w:rsidRPr="00D03DA7">
              <w:rPr>
                <w:rFonts w:ascii="Times New Roman" w:eastAsia="Calibri" w:hAnsi="Times New Roman" w:cs="Times New Roman"/>
                <w:b/>
                <w:i/>
              </w:rPr>
              <w:t>proc.)</w:t>
            </w:r>
          </w:p>
        </w:tc>
        <w:tc>
          <w:tcPr>
            <w:tcW w:w="1560" w:type="dxa"/>
            <w:shd w:val="clear" w:color="auto" w:fill="DEEAF6" w:themeFill="accent1" w:themeFillTint="33"/>
          </w:tcPr>
          <w:p w14:paraId="59E27AC7" w14:textId="77777777" w:rsidR="00662ACB" w:rsidRPr="00D03DA7" w:rsidRDefault="00D03DA7" w:rsidP="00D03DA7">
            <w:pPr>
              <w:rPr>
                <w:rFonts w:ascii="Times New Roman" w:eastAsia="Calibri" w:hAnsi="Times New Roman" w:cs="Times New Roman"/>
                <w:b/>
              </w:rPr>
            </w:pPr>
            <w:r>
              <w:rPr>
                <w:rFonts w:ascii="Times New Roman" w:eastAsia="Calibri" w:hAnsi="Times New Roman" w:cs="Times New Roman"/>
                <w:b/>
              </w:rPr>
              <w:t>B</w:t>
            </w:r>
            <w:r w:rsidR="00662ACB" w:rsidRPr="00D03DA7">
              <w:rPr>
                <w:rFonts w:ascii="Times New Roman" w:eastAsia="Calibri" w:hAnsi="Times New Roman" w:cs="Times New Roman"/>
                <w:b/>
              </w:rPr>
              <w:t>endras pedagoginių darbuotojų skaičius</w:t>
            </w:r>
          </w:p>
        </w:tc>
      </w:tr>
      <w:tr w:rsidR="00662ACB" w:rsidRPr="00662ACB" w14:paraId="59E27ACE" w14:textId="77777777" w:rsidTr="00D03DA7">
        <w:tc>
          <w:tcPr>
            <w:tcW w:w="1555" w:type="dxa"/>
          </w:tcPr>
          <w:p w14:paraId="59E27AC9"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2019–2020</w:t>
            </w:r>
          </w:p>
        </w:tc>
        <w:tc>
          <w:tcPr>
            <w:tcW w:w="2551" w:type="dxa"/>
          </w:tcPr>
          <w:p w14:paraId="59E27ACA"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294 – 46 proc</w:t>
            </w:r>
            <w:r w:rsidR="00C4079A" w:rsidRPr="00A64CC6">
              <w:rPr>
                <w:rFonts w:ascii="Times New Roman" w:eastAsia="Calibri" w:hAnsi="Times New Roman" w:cs="Times New Roman"/>
                <w:sz w:val="24"/>
                <w:szCs w:val="24"/>
              </w:rPr>
              <w:t>.</w:t>
            </w:r>
          </w:p>
        </w:tc>
        <w:tc>
          <w:tcPr>
            <w:tcW w:w="2552" w:type="dxa"/>
          </w:tcPr>
          <w:p w14:paraId="59E27ACB"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351 – 54 proc</w:t>
            </w:r>
            <w:r w:rsidR="00C4079A" w:rsidRPr="00A64CC6">
              <w:rPr>
                <w:rFonts w:ascii="Times New Roman" w:eastAsia="Calibri" w:hAnsi="Times New Roman" w:cs="Times New Roman"/>
                <w:sz w:val="24"/>
                <w:szCs w:val="24"/>
              </w:rPr>
              <w:t>.</w:t>
            </w:r>
          </w:p>
        </w:tc>
        <w:tc>
          <w:tcPr>
            <w:tcW w:w="1275" w:type="dxa"/>
          </w:tcPr>
          <w:p w14:paraId="59E27ACC"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46 / 54</w:t>
            </w:r>
          </w:p>
        </w:tc>
        <w:tc>
          <w:tcPr>
            <w:tcW w:w="1560" w:type="dxa"/>
          </w:tcPr>
          <w:p w14:paraId="59E27ACD"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645</w:t>
            </w:r>
          </w:p>
        </w:tc>
      </w:tr>
      <w:tr w:rsidR="00662ACB" w:rsidRPr="00662ACB" w14:paraId="59E27AD4" w14:textId="77777777" w:rsidTr="00D03DA7">
        <w:tc>
          <w:tcPr>
            <w:tcW w:w="1555" w:type="dxa"/>
          </w:tcPr>
          <w:p w14:paraId="59E27ACF"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2020–2021</w:t>
            </w:r>
          </w:p>
        </w:tc>
        <w:tc>
          <w:tcPr>
            <w:tcW w:w="2551" w:type="dxa"/>
          </w:tcPr>
          <w:p w14:paraId="59E27AD0"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263 – 43 proc</w:t>
            </w:r>
            <w:r w:rsidR="00C4079A" w:rsidRPr="00A64CC6">
              <w:rPr>
                <w:rFonts w:ascii="Times New Roman" w:eastAsia="Calibri" w:hAnsi="Times New Roman" w:cs="Times New Roman"/>
                <w:sz w:val="24"/>
                <w:szCs w:val="24"/>
              </w:rPr>
              <w:t>.</w:t>
            </w:r>
          </w:p>
        </w:tc>
        <w:tc>
          <w:tcPr>
            <w:tcW w:w="2552" w:type="dxa"/>
          </w:tcPr>
          <w:p w14:paraId="59E27AD1"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343 – 57 proc</w:t>
            </w:r>
            <w:r w:rsidR="00C4079A" w:rsidRPr="00A64CC6">
              <w:rPr>
                <w:rFonts w:ascii="Times New Roman" w:eastAsia="Calibri" w:hAnsi="Times New Roman" w:cs="Times New Roman"/>
                <w:sz w:val="24"/>
                <w:szCs w:val="24"/>
              </w:rPr>
              <w:t>.</w:t>
            </w:r>
          </w:p>
        </w:tc>
        <w:tc>
          <w:tcPr>
            <w:tcW w:w="1275" w:type="dxa"/>
          </w:tcPr>
          <w:p w14:paraId="59E27AD2"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43 / 57</w:t>
            </w:r>
          </w:p>
        </w:tc>
        <w:tc>
          <w:tcPr>
            <w:tcW w:w="1560" w:type="dxa"/>
          </w:tcPr>
          <w:p w14:paraId="59E27AD3"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606</w:t>
            </w:r>
          </w:p>
        </w:tc>
      </w:tr>
      <w:tr w:rsidR="00662ACB" w:rsidRPr="00662ACB" w14:paraId="59E27ADA" w14:textId="77777777" w:rsidTr="00D03DA7">
        <w:tc>
          <w:tcPr>
            <w:tcW w:w="1555" w:type="dxa"/>
          </w:tcPr>
          <w:p w14:paraId="59E27AD5"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2021–2022</w:t>
            </w:r>
          </w:p>
        </w:tc>
        <w:tc>
          <w:tcPr>
            <w:tcW w:w="2551" w:type="dxa"/>
          </w:tcPr>
          <w:p w14:paraId="59E27AD6"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252 – 43 proc</w:t>
            </w:r>
            <w:r w:rsidR="00C4079A" w:rsidRPr="00A64CC6">
              <w:rPr>
                <w:rFonts w:ascii="Times New Roman" w:eastAsia="Calibri" w:hAnsi="Times New Roman" w:cs="Times New Roman"/>
                <w:sz w:val="24"/>
                <w:szCs w:val="24"/>
              </w:rPr>
              <w:t>.</w:t>
            </w:r>
          </w:p>
        </w:tc>
        <w:tc>
          <w:tcPr>
            <w:tcW w:w="2552" w:type="dxa"/>
          </w:tcPr>
          <w:p w14:paraId="59E27AD7"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333 – 57 proc</w:t>
            </w:r>
            <w:r w:rsidR="00C4079A" w:rsidRPr="00A64CC6">
              <w:rPr>
                <w:rFonts w:ascii="Times New Roman" w:eastAsia="Calibri" w:hAnsi="Times New Roman" w:cs="Times New Roman"/>
                <w:sz w:val="24"/>
                <w:szCs w:val="24"/>
              </w:rPr>
              <w:t>.</w:t>
            </w:r>
          </w:p>
        </w:tc>
        <w:tc>
          <w:tcPr>
            <w:tcW w:w="1275" w:type="dxa"/>
          </w:tcPr>
          <w:p w14:paraId="59E27AD8"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43 / 57</w:t>
            </w:r>
          </w:p>
        </w:tc>
        <w:tc>
          <w:tcPr>
            <w:tcW w:w="1560" w:type="dxa"/>
          </w:tcPr>
          <w:p w14:paraId="59E27AD9" w14:textId="77777777" w:rsidR="00662ACB" w:rsidRPr="00662ACB" w:rsidRDefault="00662ACB" w:rsidP="00662ACB">
            <w:pPr>
              <w:rPr>
                <w:rFonts w:ascii="Times New Roman" w:eastAsia="Calibri" w:hAnsi="Times New Roman" w:cs="Times New Roman"/>
                <w:sz w:val="24"/>
                <w:szCs w:val="24"/>
              </w:rPr>
            </w:pPr>
            <w:r w:rsidRPr="00662ACB">
              <w:rPr>
                <w:rFonts w:ascii="Times New Roman" w:eastAsia="Calibri" w:hAnsi="Times New Roman" w:cs="Times New Roman"/>
                <w:sz w:val="24"/>
                <w:szCs w:val="24"/>
              </w:rPr>
              <w:t>585</w:t>
            </w:r>
          </w:p>
        </w:tc>
      </w:tr>
    </w:tbl>
    <w:p w14:paraId="59E27ADB" w14:textId="77777777" w:rsidR="00662ACB" w:rsidRDefault="00662ACB" w:rsidP="00662ACB">
      <w:pPr>
        <w:shd w:val="clear" w:color="auto" w:fill="FFFFFF" w:themeFill="background1"/>
        <w:tabs>
          <w:tab w:val="left" w:pos="709"/>
          <w:tab w:val="left" w:pos="993"/>
        </w:tabs>
        <w:spacing w:after="0" w:line="240" w:lineRule="auto"/>
        <w:contextualSpacing/>
        <w:jc w:val="both"/>
        <w:rPr>
          <w:rFonts w:ascii="Times New Roman" w:eastAsia="Times New Roman" w:hAnsi="Times New Roman" w:cs="Times New Roman"/>
          <w:sz w:val="24"/>
          <w:szCs w:val="24"/>
        </w:rPr>
      </w:pPr>
    </w:p>
    <w:p w14:paraId="59E27ADC" w14:textId="77777777" w:rsidR="00625CDF" w:rsidRDefault="00DB1EDD" w:rsidP="002304D9">
      <w:pPr>
        <w:shd w:val="clear" w:color="auto" w:fill="FFFFFF" w:themeFill="background1"/>
        <w:tabs>
          <w:tab w:val="left" w:pos="709"/>
          <w:tab w:val="left" w:pos="993"/>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sidR="00625CDF" w:rsidRPr="00DB1EDD">
        <w:rPr>
          <w:rFonts w:ascii="Times New Roman" w:hAnsi="Times New Roman" w:cs="Times New Roman"/>
          <w:sz w:val="24"/>
          <w:szCs w:val="24"/>
        </w:rPr>
        <w:t>Savivaldybės švietimo įstaigose ženklus pedagogų senėjimas</w:t>
      </w:r>
      <w:r w:rsidR="00625CDF">
        <w:rPr>
          <w:rFonts w:ascii="Times New Roman" w:hAnsi="Times New Roman" w:cs="Times New Roman"/>
          <w:sz w:val="24"/>
          <w:szCs w:val="24"/>
        </w:rPr>
        <w:t xml:space="preserve"> ir tendencingas pagalbos mokiniu</w:t>
      </w:r>
      <w:r w:rsidR="002304D9">
        <w:rPr>
          <w:rFonts w:ascii="Times New Roman" w:hAnsi="Times New Roman" w:cs="Times New Roman"/>
          <w:sz w:val="24"/>
          <w:szCs w:val="24"/>
        </w:rPr>
        <w:t>i</w:t>
      </w:r>
      <w:r w:rsidR="00625CDF">
        <w:rPr>
          <w:rFonts w:ascii="Times New Roman" w:hAnsi="Times New Roman" w:cs="Times New Roman"/>
          <w:sz w:val="24"/>
          <w:szCs w:val="24"/>
        </w:rPr>
        <w:t xml:space="preserve"> specialistų trūkumas</w:t>
      </w:r>
      <w:r w:rsidR="002304D9">
        <w:rPr>
          <w:rFonts w:ascii="Times New Roman" w:hAnsi="Times New Roman" w:cs="Times New Roman"/>
          <w:sz w:val="24"/>
          <w:szCs w:val="24"/>
        </w:rPr>
        <w:t xml:space="preserve"> (trūksta psichologų, logopedų, specialiųjų pedagogų)</w:t>
      </w:r>
      <w:r w:rsidR="00625CDF">
        <w:rPr>
          <w:rFonts w:ascii="Times New Roman" w:hAnsi="Times New Roman" w:cs="Times New Roman"/>
          <w:sz w:val="24"/>
          <w:szCs w:val="24"/>
        </w:rPr>
        <w:t>.</w:t>
      </w:r>
    </w:p>
    <w:p w14:paraId="59E27ADD" w14:textId="77777777" w:rsidR="00FD3D62" w:rsidRDefault="00625CDF" w:rsidP="00662ACB">
      <w:pPr>
        <w:shd w:val="clear" w:color="auto" w:fill="FFFFFF" w:themeFill="background1"/>
        <w:tabs>
          <w:tab w:val="left" w:pos="709"/>
          <w:tab w:val="left" w:pos="993"/>
        </w:tabs>
        <w:spacing w:after="0" w:line="240" w:lineRule="auto"/>
        <w:contextualSpacing/>
        <w:jc w:val="both"/>
        <w:rPr>
          <w:rFonts w:ascii="Times New Roman" w:eastAsia="Times New Roman" w:hAnsi="Times New Roman" w:cs="Times New Roman"/>
          <w:sz w:val="24"/>
          <w:szCs w:val="24"/>
        </w:rPr>
      </w:pPr>
      <w:r w:rsidRPr="00935CF8">
        <w:rPr>
          <w:rFonts w:ascii="Times New Roman" w:eastAsia="Times New Roman" w:hAnsi="Times New Roman" w:cs="Times New Roman"/>
          <w:sz w:val="24"/>
          <w:szCs w:val="24"/>
        </w:rPr>
        <w:tab/>
      </w:r>
      <w:r w:rsidR="00C90B45" w:rsidRPr="00935CF8">
        <w:rPr>
          <w:rFonts w:ascii="Times New Roman" w:eastAsia="Times New Roman" w:hAnsi="Times New Roman" w:cs="Times New Roman"/>
          <w:sz w:val="24"/>
          <w:szCs w:val="24"/>
        </w:rPr>
        <w:t>U</w:t>
      </w:r>
      <w:r w:rsidR="00662ACB" w:rsidRPr="00935CF8">
        <w:rPr>
          <w:rFonts w:ascii="Times New Roman" w:eastAsia="Times New Roman" w:hAnsi="Times New Roman" w:cs="Times New Roman"/>
          <w:sz w:val="24"/>
          <w:szCs w:val="24"/>
        </w:rPr>
        <w:t xml:space="preserve">žtikrinant Savivaldybės mokyklų ugdymo kokybę, </w:t>
      </w:r>
      <w:proofErr w:type="spellStart"/>
      <w:r w:rsidR="00662ACB" w:rsidRPr="00935CF8">
        <w:rPr>
          <w:rFonts w:ascii="Times New Roman" w:eastAsia="Times New Roman" w:hAnsi="Times New Roman" w:cs="Times New Roman"/>
          <w:sz w:val="24"/>
          <w:szCs w:val="24"/>
        </w:rPr>
        <w:t>įtrauktį</w:t>
      </w:r>
      <w:proofErr w:type="spellEnd"/>
      <w:r w:rsidR="00662ACB" w:rsidRPr="00935CF8">
        <w:rPr>
          <w:rFonts w:ascii="Times New Roman" w:eastAsia="Times New Roman" w:hAnsi="Times New Roman" w:cs="Times New Roman"/>
          <w:sz w:val="24"/>
          <w:szCs w:val="24"/>
        </w:rPr>
        <w:t xml:space="preserve"> ir prieinamumą, vienas iš vertinimo kriterijų yra bendrojo ugdymo mokyklų 1</w:t>
      </w:r>
      <w:r w:rsidR="00DB1EDD" w:rsidRPr="00935CF8">
        <w:rPr>
          <w:rFonts w:ascii="Times New Roman" w:eastAsia="Times New Roman" w:hAnsi="Times New Roman" w:cs="Times New Roman"/>
          <w:sz w:val="24"/>
          <w:szCs w:val="24"/>
        </w:rPr>
        <w:t>–</w:t>
      </w:r>
      <w:r w:rsidR="00662ACB" w:rsidRPr="00935CF8">
        <w:rPr>
          <w:rFonts w:ascii="Times New Roman" w:eastAsia="Times New Roman" w:hAnsi="Times New Roman" w:cs="Times New Roman"/>
          <w:sz w:val="24"/>
          <w:szCs w:val="24"/>
        </w:rPr>
        <w:t>8 klasių komplektų, kurie yra jungtiniai, dalis. Savivaldybės mokyklose 2019 m. rugsėjo 1 d.  ŠVIS duomenimis buvo 199 1</w:t>
      </w:r>
      <w:r w:rsidR="00DB1EDD" w:rsidRPr="00935CF8">
        <w:rPr>
          <w:rFonts w:ascii="Times New Roman" w:eastAsia="Times New Roman" w:hAnsi="Times New Roman" w:cs="Times New Roman"/>
          <w:sz w:val="24"/>
          <w:szCs w:val="24"/>
        </w:rPr>
        <w:t>–</w:t>
      </w:r>
      <w:r w:rsidR="00662ACB" w:rsidRPr="00935CF8">
        <w:rPr>
          <w:rFonts w:ascii="Times New Roman" w:eastAsia="Times New Roman" w:hAnsi="Times New Roman" w:cs="Times New Roman"/>
          <w:sz w:val="24"/>
          <w:szCs w:val="24"/>
        </w:rPr>
        <w:t>8 klasių</w:t>
      </w:r>
      <w:r w:rsidR="00935CF8" w:rsidRPr="00935CF8">
        <w:rPr>
          <w:rFonts w:ascii="Times New Roman" w:eastAsia="Times New Roman" w:hAnsi="Times New Roman" w:cs="Times New Roman"/>
          <w:sz w:val="24"/>
          <w:szCs w:val="24"/>
        </w:rPr>
        <w:t xml:space="preserve"> komplektai</w:t>
      </w:r>
      <w:r w:rsidR="00662ACB" w:rsidRPr="00935CF8">
        <w:rPr>
          <w:rFonts w:ascii="Times New Roman" w:eastAsia="Times New Roman" w:hAnsi="Times New Roman" w:cs="Times New Roman"/>
          <w:sz w:val="24"/>
          <w:szCs w:val="24"/>
        </w:rPr>
        <w:t>, iš kurių 14 specialiųjų klasių komplektų, be jungtinių klasių – 152. 2021 m. rugsėjo 1 d. ŠVIS duomenimis buvo</w:t>
      </w:r>
      <w:r w:rsidR="00935CF8" w:rsidRPr="00935CF8">
        <w:rPr>
          <w:rFonts w:ascii="Times New Roman" w:eastAsia="Times New Roman" w:hAnsi="Times New Roman" w:cs="Times New Roman"/>
          <w:sz w:val="24"/>
          <w:szCs w:val="24"/>
        </w:rPr>
        <w:t xml:space="preserve"> 182</w:t>
      </w:r>
      <w:r w:rsidR="00662ACB" w:rsidRPr="00935CF8">
        <w:rPr>
          <w:rFonts w:ascii="Times New Roman" w:eastAsia="Times New Roman" w:hAnsi="Times New Roman" w:cs="Times New Roman"/>
          <w:sz w:val="24"/>
          <w:szCs w:val="24"/>
        </w:rPr>
        <w:t xml:space="preserve"> 1</w:t>
      </w:r>
      <w:r w:rsidR="00FD3D62" w:rsidRPr="00935CF8">
        <w:rPr>
          <w:rFonts w:ascii="Times New Roman" w:eastAsia="Times New Roman" w:hAnsi="Times New Roman" w:cs="Times New Roman"/>
          <w:sz w:val="24"/>
          <w:szCs w:val="24"/>
        </w:rPr>
        <w:t>–</w:t>
      </w:r>
      <w:r w:rsidR="00662ACB" w:rsidRPr="00935CF8">
        <w:rPr>
          <w:rFonts w:ascii="Times New Roman" w:eastAsia="Times New Roman" w:hAnsi="Times New Roman" w:cs="Times New Roman"/>
          <w:sz w:val="24"/>
          <w:szCs w:val="24"/>
        </w:rPr>
        <w:t xml:space="preserve">8 klasių komplektų, iš kurių 23 – specialiųjų klasių komplektai, be jungtinių klasių </w:t>
      </w:r>
      <w:r w:rsidR="00935CF8" w:rsidRPr="00935CF8">
        <w:rPr>
          <w:rFonts w:ascii="Times New Roman" w:eastAsia="Times New Roman" w:hAnsi="Times New Roman" w:cs="Times New Roman"/>
          <w:sz w:val="24"/>
          <w:szCs w:val="24"/>
        </w:rPr>
        <w:t>–</w:t>
      </w:r>
      <w:r w:rsidR="00662ACB" w:rsidRPr="00935CF8">
        <w:rPr>
          <w:rFonts w:ascii="Times New Roman" w:eastAsia="Times New Roman" w:hAnsi="Times New Roman" w:cs="Times New Roman"/>
          <w:sz w:val="24"/>
          <w:szCs w:val="24"/>
        </w:rPr>
        <w:t>141.</w:t>
      </w:r>
      <w:r w:rsidR="00662ACB" w:rsidRPr="00662ACB">
        <w:rPr>
          <w:rFonts w:ascii="Times New Roman" w:eastAsia="Times New Roman" w:hAnsi="Times New Roman" w:cs="Times New Roman"/>
          <w:sz w:val="24"/>
          <w:szCs w:val="24"/>
        </w:rPr>
        <w:t xml:space="preserve">    </w:t>
      </w:r>
    </w:p>
    <w:tbl>
      <w:tblPr>
        <w:tblStyle w:val="Lentelstinklelis1"/>
        <w:tblW w:w="9493" w:type="dxa"/>
        <w:tblLook w:val="04A0" w:firstRow="1" w:lastRow="0" w:firstColumn="1" w:lastColumn="0" w:noHBand="0" w:noVBand="1"/>
      </w:tblPr>
      <w:tblGrid>
        <w:gridCol w:w="4106"/>
        <w:gridCol w:w="1843"/>
        <w:gridCol w:w="1562"/>
        <w:gridCol w:w="1982"/>
      </w:tblGrid>
      <w:tr w:rsidR="00662ACB" w:rsidRPr="00662ACB" w14:paraId="59E27AE2" w14:textId="77777777" w:rsidTr="00A64CC6">
        <w:tc>
          <w:tcPr>
            <w:tcW w:w="4106" w:type="dxa"/>
            <w:shd w:val="clear" w:color="auto" w:fill="DEEAF6" w:themeFill="accent1" w:themeFillTint="33"/>
          </w:tcPr>
          <w:p w14:paraId="59E27ADE"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Kriterijus</w:t>
            </w:r>
          </w:p>
        </w:tc>
        <w:tc>
          <w:tcPr>
            <w:tcW w:w="1843" w:type="dxa"/>
            <w:shd w:val="clear" w:color="auto" w:fill="DEEAF6" w:themeFill="accent1" w:themeFillTint="33"/>
          </w:tcPr>
          <w:p w14:paraId="59E27ADF" w14:textId="77777777" w:rsidR="00662ACB" w:rsidRPr="00662ACB" w:rsidRDefault="00662ACB" w:rsidP="00625CDF">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2019-09-01</w:t>
            </w:r>
          </w:p>
        </w:tc>
        <w:tc>
          <w:tcPr>
            <w:tcW w:w="1562" w:type="dxa"/>
            <w:shd w:val="clear" w:color="auto" w:fill="DEEAF6" w:themeFill="accent1" w:themeFillTint="33"/>
          </w:tcPr>
          <w:p w14:paraId="59E27AE0"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2020-09-01</w:t>
            </w:r>
          </w:p>
        </w:tc>
        <w:tc>
          <w:tcPr>
            <w:tcW w:w="1982" w:type="dxa"/>
            <w:shd w:val="clear" w:color="auto" w:fill="DEEAF6" w:themeFill="accent1" w:themeFillTint="33"/>
          </w:tcPr>
          <w:p w14:paraId="59E27AE1" w14:textId="77777777" w:rsidR="00662ACB" w:rsidRPr="00662ACB" w:rsidRDefault="00662ACB" w:rsidP="00662ACB">
            <w:pPr>
              <w:tabs>
                <w:tab w:val="left" w:pos="709"/>
                <w:tab w:val="left" w:pos="993"/>
              </w:tabs>
              <w:contextualSpacing/>
              <w:jc w:val="both"/>
              <w:rPr>
                <w:rFonts w:ascii="Times New Roman" w:eastAsia="Times New Roman" w:hAnsi="Times New Roman" w:cs="Times New Roman"/>
                <w:b/>
                <w:sz w:val="24"/>
                <w:szCs w:val="24"/>
              </w:rPr>
            </w:pPr>
            <w:r w:rsidRPr="00662ACB">
              <w:rPr>
                <w:rFonts w:ascii="Times New Roman" w:eastAsia="Times New Roman" w:hAnsi="Times New Roman" w:cs="Times New Roman"/>
                <w:b/>
                <w:sz w:val="24"/>
                <w:szCs w:val="24"/>
              </w:rPr>
              <w:t>2021-09-01</w:t>
            </w:r>
          </w:p>
        </w:tc>
      </w:tr>
      <w:tr w:rsidR="00662ACB" w:rsidRPr="00662ACB" w14:paraId="59E27AE7" w14:textId="77777777" w:rsidTr="00581BC4">
        <w:tc>
          <w:tcPr>
            <w:tcW w:w="4106" w:type="dxa"/>
          </w:tcPr>
          <w:p w14:paraId="59E27AE3" w14:textId="77777777" w:rsidR="00662ACB" w:rsidRPr="00662ACB" w:rsidRDefault="00662ACB" w:rsidP="00C4079A">
            <w:pPr>
              <w:tabs>
                <w:tab w:val="left" w:pos="709"/>
                <w:tab w:val="left" w:pos="993"/>
              </w:tabs>
              <w:contextualSpacing/>
              <w:jc w:val="both"/>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Bendrojo ugdymo mokyklų 1</w:t>
            </w:r>
            <w:r w:rsidR="00C4079A">
              <w:rPr>
                <w:rFonts w:ascii="Times New Roman" w:eastAsia="Times New Roman" w:hAnsi="Times New Roman" w:cs="Times New Roman"/>
                <w:sz w:val="24"/>
                <w:szCs w:val="24"/>
              </w:rPr>
              <w:t>–</w:t>
            </w:r>
            <w:r w:rsidRPr="00662ACB">
              <w:rPr>
                <w:rFonts w:ascii="Times New Roman" w:eastAsia="Times New Roman" w:hAnsi="Times New Roman" w:cs="Times New Roman"/>
                <w:sz w:val="24"/>
                <w:szCs w:val="24"/>
              </w:rPr>
              <w:t>8 klasių komplektų, kurie yra jungtiniai, dalis (proc.) neįskaičiuojant specialiųjų klasių</w:t>
            </w:r>
          </w:p>
        </w:tc>
        <w:tc>
          <w:tcPr>
            <w:tcW w:w="1843" w:type="dxa"/>
          </w:tcPr>
          <w:p w14:paraId="59E27AE4" w14:textId="77777777" w:rsidR="00662ACB" w:rsidRPr="00662ACB" w:rsidRDefault="00662ACB" w:rsidP="00662ACB">
            <w:pPr>
              <w:tabs>
                <w:tab w:val="left" w:pos="709"/>
                <w:tab w:val="left" w:pos="993"/>
              </w:tabs>
              <w:contextualSpacing/>
              <w:jc w:val="center"/>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7,1</w:t>
            </w:r>
          </w:p>
        </w:tc>
        <w:tc>
          <w:tcPr>
            <w:tcW w:w="1562" w:type="dxa"/>
          </w:tcPr>
          <w:p w14:paraId="59E27AE5" w14:textId="77777777" w:rsidR="00662ACB" w:rsidRPr="00662ACB" w:rsidRDefault="00662ACB" w:rsidP="00662ACB">
            <w:pPr>
              <w:tabs>
                <w:tab w:val="left" w:pos="709"/>
                <w:tab w:val="left" w:pos="993"/>
              </w:tabs>
              <w:contextualSpacing/>
              <w:jc w:val="center"/>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17,3</w:t>
            </w:r>
          </w:p>
        </w:tc>
        <w:tc>
          <w:tcPr>
            <w:tcW w:w="1982" w:type="dxa"/>
          </w:tcPr>
          <w:p w14:paraId="59E27AE6" w14:textId="77777777" w:rsidR="00662ACB" w:rsidRPr="00662ACB" w:rsidRDefault="00662ACB" w:rsidP="00662ACB">
            <w:pPr>
              <w:tabs>
                <w:tab w:val="left" w:pos="709"/>
                <w:tab w:val="left" w:pos="993"/>
              </w:tabs>
              <w:contextualSpacing/>
              <w:jc w:val="center"/>
              <w:rPr>
                <w:rFonts w:ascii="Times New Roman" w:eastAsia="Times New Roman" w:hAnsi="Times New Roman" w:cs="Times New Roman"/>
                <w:sz w:val="24"/>
                <w:szCs w:val="24"/>
              </w:rPr>
            </w:pPr>
            <w:r w:rsidRPr="00662ACB">
              <w:rPr>
                <w:rFonts w:ascii="Times New Roman" w:eastAsia="Times New Roman" w:hAnsi="Times New Roman" w:cs="Times New Roman"/>
                <w:sz w:val="24"/>
                <w:szCs w:val="24"/>
              </w:rPr>
              <w:t>12,7</w:t>
            </w:r>
          </w:p>
        </w:tc>
      </w:tr>
    </w:tbl>
    <w:p w14:paraId="59E27AE8" w14:textId="77777777" w:rsidR="00F7437D" w:rsidRDefault="00F7437D" w:rsidP="00F7437D">
      <w:pPr>
        <w:spacing w:after="0" w:line="240" w:lineRule="auto"/>
        <w:jc w:val="both"/>
        <w:rPr>
          <w:rFonts w:ascii="Times New Roman" w:hAnsi="Times New Roman" w:cs="Times New Roman"/>
          <w:b/>
          <w:sz w:val="24"/>
          <w:szCs w:val="24"/>
        </w:rPr>
      </w:pPr>
    </w:p>
    <w:p w14:paraId="59E27AE9" w14:textId="77777777" w:rsidR="00F7437D" w:rsidRPr="0047590E" w:rsidRDefault="00F7437D" w:rsidP="00F7437D">
      <w:pPr>
        <w:spacing w:after="0" w:line="240" w:lineRule="auto"/>
        <w:ind w:firstLine="709"/>
        <w:jc w:val="both"/>
        <w:rPr>
          <w:rFonts w:ascii="Times New Roman" w:hAnsi="Times New Roman" w:cs="Times New Roman"/>
          <w:sz w:val="24"/>
          <w:szCs w:val="24"/>
        </w:rPr>
      </w:pPr>
      <w:r w:rsidRPr="0047590E">
        <w:rPr>
          <w:rFonts w:ascii="Times New Roman" w:hAnsi="Times New Roman" w:cs="Times New Roman"/>
          <w:sz w:val="24"/>
          <w:szCs w:val="24"/>
        </w:rPr>
        <w:t xml:space="preserve">Naujai komplektuojamų bendrojo ugdymo mokyklų bendrosios paskirties 1 klasių komplektų, kuriuose yra ne daugiau kaip 24 mokiniai, dalis 2019–2021 metais – 100 proc. </w:t>
      </w:r>
    </w:p>
    <w:p w14:paraId="59E27AEA" w14:textId="77777777" w:rsidR="00F7437D" w:rsidRDefault="00F7437D" w:rsidP="00205DC3">
      <w:pPr>
        <w:spacing w:after="0" w:line="240" w:lineRule="auto"/>
        <w:jc w:val="center"/>
        <w:rPr>
          <w:rFonts w:ascii="Times New Roman" w:hAnsi="Times New Roman" w:cs="Times New Roman"/>
          <w:b/>
          <w:sz w:val="24"/>
          <w:szCs w:val="24"/>
        </w:rPr>
      </w:pPr>
    </w:p>
    <w:p w14:paraId="59E27AEB" w14:textId="77777777" w:rsidR="00205DC3" w:rsidRDefault="00205DC3" w:rsidP="00205DC3">
      <w:pPr>
        <w:spacing w:after="0" w:line="240" w:lineRule="auto"/>
        <w:jc w:val="center"/>
        <w:rPr>
          <w:rFonts w:ascii="Times New Roman" w:hAnsi="Times New Roman" w:cs="Times New Roman"/>
          <w:b/>
          <w:sz w:val="24"/>
          <w:szCs w:val="24"/>
        </w:rPr>
      </w:pPr>
      <w:r w:rsidRPr="00205DC3">
        <w:rPr>
          <w:rFonts w:ascii="Times New Roman" w:hAnsi="Times New Roman" w:cs="Times New Roman"/>
          <w:b/>
          <w:sz w:val="24"/>
          <w:szCs w:val="24"/>
        </w:rPr>
        <w:t>Pasiekimai</w:t>
      </w:r>
    </w:p>
    <w:p w14:paraId="59E27AEC" w14:textId="77777777" w:rsidR="00C4079A" w:rsidRDefault="00C4079A" w:rsidP="00205DC3">
      <w:pPr>
        <w:spacing w:after="0" w:line="240" w:lineRule="auto"/>
        <w:jc w:val="center"/>
        <w:rPr>
          <w:rFonts w:ascii="Times New Roman" w:hAnsi="Times New Roman" w:cs="Times New Roman"/>
          <w:b/>
          <w:sz w:val="24"/>
          <w:szCs w:val="24"/>
        </w:rPr>
      </w:pPr>
    </w:p>
    <w:p w14:paraId="59E27AED" w14:textId="77777777" w:rsidR="00D5438B" w:rsidRPr="00D5438B" w:rsidRDefault="00D5438B" w:rsidP="00BF058F">
      <w:pPr>
        <w:spacing w:after="0" w:line="240" w:lineRule="auto"/>
        <w:ind w:firstLine="709"/>
        <w:jc w:val="both"/>
        <w:rPr>
          <w:rFonts w:ascii="Times New Roman" w:hAnsi="Times New Roman" w:cs="Times New Roman"/>
          <w:sz w:val="24"/>
          <w:szCs w:val="24"/>
        </w:rPr>
      </w:pPr>
      <w:r w:rsidRPr="00D5438B">
        <w:rPr>
          <w:rFonts w:ascii="Times New Roman" w:hAnsi="Times New Roman" w:cs="Times New Roman"/>
          <w:sz w:val="24"/>
          <w:szCs w:val="24"/>
        </w:rPr>
        <w:t>Ugdymo kokybės, mokinių pažangos ir pasiekimų gerinimas – vieni iš svarbiausių šalies švietimo tobulinimo uždavinių. Analizuojant 2019 m., 2020 m. ir 2021 m. Vilkaviškio rajono savivaldybės duomenis, galima įžvelgti pažangą šiose srityse:</w:t>
      </w:r>
    </w:p>
    <w:p w14:paraId="59E27AEE" w14:textId="77777777" w:rsidR="00D5438B" w:rsidRPr="00D5438B" w:rsidRDefault="00D5438B" w:rsidP="00BF058F">
      <w:pPr>
        <w:numPr>
          <w:ilvl w:val="0"/>
          <w:numId w:val="1"/>
        </w:numPr>
        <w:spacing w:after="0" w:line="240" w:lineRule="auto"/>
        <w:ind w:left="0" w:firstLine="851"/>
        <w:contextualSpacing/>
        <w:jc w:val="both"/>
        <w:rPr>
          <w:rFonts w:ascii="Times New Roman" w:eastAsiaTheme="minorEastAsia" w:hAnsi="Times New Roman" w:cs="Times New Roman"/>
          <w:sz w:val="24"/>
          <w:szCs w:val="24"/>
        </w:rPr>
      </w:pPr>
      <w:r w:rsidRPr="00D5438B">
        <w:rPr>
          <w:rFonts w:ascii="Times New Roman" w:hAnsi="Times New Roman" w:cs="Times New Roman"/>
          <w:color w:val="111111"/>
          <w:sz w:val="24"/>
          <w:szCs w:val="24"/>
        </w:rPr>
        <w:t xml:space="preserve">Geresni </w:t>
      </w:r>
      <w:r w:rsidRPr="00D5438B">
        <w:rPr>
          <w:rFonts w:ascii="Times New Roman" w:hAnsi="Times New Roman" w:cs="Times New Roman"/>
          <w:sz w:val="24"/>
          <w:szCs w:val="24"/>
        </w:rPr>
        <w:t>Nacionalinio mokinių pasiekimų patikrinimo (NMPP) rezultatai. Lyginant 2018–2019 m. m. ir 2020–2021 m. m. 8 klasių NMPP rezultatus pagal pasiekimų lygius, fiksuojami aukštesni skaitymo, gamtos mokslų, socialinių mokslų testų rezultatai: 37,6 proc. padaugėjo mokinių, pasiekusių socialinių mokslų pagrindinį pasiekimų lygį; 3,8 proc. padaugėjo mokinių, pasiekusių aukštesnįjį ir 22,8 proc. pagrindinį gamtos mokslų pasiekimų lygį; 4,4 proc. padaugėjo mokinių, pasiekusių aukštesnįjį ir 14 proc. pagrindinį skaitymo pasiekimų lygį. 6 kl. mokinių, pasiekusių aukštesnįjį matematikos dalyko pasiekimų lygį, skaičius padidėjo 4,26 proc., mokinių, pasiekusių matematikos dalyko pagrindinį lygį, skaičius padidėjo 4,81 proc., palyginus su 2019–2020 m. m.</w:t>
      </w:r>
    </w:p>
    <w:p w14:paraId="59E27AEF" w14:textId="77777777" w:rsidR="00D5438B" w:rsidRPr="00D5438B" w:rsidRDefault="00D5438B" w:rsidP="00BF058F">
      <w:pPr>
        <w:tabs>
          <w:tab w:val="left" w:pos="1134"/>
        </w:tabs>
        <w:spacing w:after="0" w:line="240" w:lineRule="auto"/>
        <w:contextualSpacing/>
        <w:jc w:val="both"/>
        <w:rPr>
          <w:rFonts w:ascii="Times New Roman" w:eastAsiaTheme="minorEastAsia" w:hAnsi="Times New Roman" w:cs="Times New Roman"/>
          <w:sz w:val="24"/>
          <w:szCs w:val="24"/>
        </w:rPr>
      </w:pPr>
      <w:r w:rsidRPr="00D5438B">
        <w:rPr>
          <w:rFonts w:ascii="Times New Roman" w:hAnsi="Times New Roman" w:cs="Times New Roman"/>
          <w:sz w:val="24"/>
          <w:szCs w:val="24"/>
        </w:rPr>
        <w:t>8 kl. mokinių, pasiekusių aukštesnįjį matematikos dalyko pasiekimų lygį, skaičius padidėjo 5,24 proc., palyginus su 2019–2020 m. m. 8 kl. mokinių, pasiekusių aukštesnįjį lietuvių kalbos ir literatūros dalyko pasiekimų lygį, skaičius padidėjo 7,17 proc., palyginus su 2019–2020 m. m., mokinių, kurie pasiekė aukštesnį nei patenkinamą pasiekimų lygį, skaičius padidėjo 4,6 proc., palyginus su 2019–2020 m. m.</w:t>
      </w:r>
    </w:p>
    <w:p w14:paraId="59E27AF0" w14:textId="77777777" w:rsidR="00D5438B" w:rsidRPr="00D5438B" w:rsidRDefault="00D5438B" w:rsidP="009F1FBC">
      <w:pPr>
        <w:tabs>
          <w:tab w:val="left" w:pos="1134"/>
        </w:tabs>
        <w:spacing w:after="0" w:line="240" w:lineRule="auto"/>
        <w:contextualSpacing/>
        <w:jc w:val="both"/>
        <w:rPr>
          <w:rFonts w:ascii="Times New Roman" w:eastAsiaTheme="minorEastAsia" w:hAnsi="Times New Roman" w:cs="Times New Roman"/>
          <w:sz w:val="24"/>
          <w:szCs w:val="24"/>
        </w:rPr>
      </w:pPr>
      <w:r w:rsidRPr="00D5438B">
        <w:rPr>
          <w:rFonts w:ascii="Times New Roman" w:hAnsi="Times New Roman" w:cs="Times New Roman"/>
          <w:sz w:val="24"/>
          <w:szCs w:val="24"/>
        </w:rPr>
        <w:tab/>
        <w:t xml:space="preserve">2. Palyginus 2019–2020 m. m. ir 2020–2021 m. m. 10 kl. mokinių lietuvių kalbos ir literatūros dalyko pažymių vidurkius ir pasiekimo lygius, fiksuoti gerėjantys lietuvių kalbos ir literatūros rezultatai: 10 proc. padaugėjo mokinių, pasiekusių pagrindinį pasiekimų lygį. </w:t>
      </w:r>
      <w:r w:rsidRPr="00D5438B">
        <w:rPr>
          <w:rFonts w:ascii="Times New Roman" w:eastAsia="Times New Roman" w:hAnsi="Times New Roman" w:cs="Times New Roman"/>
          <w:sz w:val="24"/>
          <w:szCs w:val="24"/>
        </w:rPr>
        <w:t>Geresni Pagrindinio ugdymo pasiekimų patikrinimo (PUPP) rezultatai.</w:t>
      </w:r>
      <w:r w:rsidRPr="00D5438B">
        <w:rPr>
          <w:rFonts w:ascii="Times New Roman" w:hAnsi="Times New Roman" w:cs="Times New Roman"/>
          <w:sz w:val="24"/>
          <w:szCs w:val="24"/>
        </w:rPr>
        <w:t xml:space="preserve"> 2020–2021 m. m. matematikos pagrindinio ugdymo pasiekimų patikrinimo balų vidurkis yra 3,9, o tai reiškia, kad jis 1,2 punkto didesnis, lyginant su 2018–2019 m. m. matematikos pagrindinio ugdymo patikrinimo balų vidurkiu. </w:t>
      </w:r>
      <w:r w:rsidRPr="00D5438B">
        <w:rPr>
          <w:rFonts w:ascii="Times New Roman" w:hAnsi="Times New Roman" w:cs="Times New Roman"/>
          <w:sz w:val="24"/>
          <w:szCs w:val="24"/>
        </w:rPr>
        <w:lastRenderedPageBreak/>
        <w:t xml:space="preserve">2020 m. (6,25) lietuvių kalbos ir literatūros pagrindinio ugdymo pasiekimų patikrinimo balų vidurkis 0,15 didesnis nei 2019 m. (6,1), pagrindiniu lygiu išlaikiusių mokinių yra 50 proc. </w:t>
      </w:r>
    </w:p>
    <w:p w14:paraId="59E27AF1" w14:textId="77777777" w:rsidR="00D5438B" w:rsidRPr="00D5438B" w:rsidRDefault="00625CDF" w:rsidP="00F66B74">
      <w:pPr>
        <w:shd w:val="clear" w:color="auto" w:fill="FFFFFF" w:themeFill="background1"/>
        <w:spacing w:after="0" w:line="240" w:lineRule="auto"/>
        <w:ind w:firstLine="1134"/>
        <w:contextualSpacing/>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3. </w:t>
      </w:r>
      <w:r w:rsidR="00D5438B" w:rsidRPr="00D5438B">
        <w:rPr>
          <w:rFonts w:ascii="Times New Roman" w:eastAsia="Times New Roman" w:hAnsi="Times New Roman" w:cs="Times New Roman"/>
          <w:sz w:val="24"/>
          <w:szCs w:val="24"/>
        </w:rPr>
        <w:t>Lyginant 2019 m., 2020 m. 2021 m. duomenis apie abiturientų, išlaikiusių 3 ir daugiau VBE, matoma pažanga. 2019 m. abiturientų, išlaikiusių 3 ir daugiau VBE dalis buvo 60 proc.; 2020 m. – 70 proc.; 2021 m. – 70 proc. Analizuojant VBE rezultatus, matomas teigiamas (6 mokomųjų dalykų) ir neigiamas (dviejų mokomųjų dalykų) pokytis: informacinių technologijų dalyko – padidėjo abiturientų dalis, pasiekusių pagrindinį lygį nuo 28,6 proc. 2019 m. iki 50 proc. 2020 m., tačiau sumažėjo iki 30 proc. 2021 m.; istorijos dalyko – padidėjo abiturientų dalis, pasiekusių pagrindinį lygį nuo 39,5 proc. 2019 m. iki 85 proc. 2020 m., tačiau sumažėjo iki 58,2 proc. 2021 m.; geografijos dalyko – padidėjo abiturientų dalis, pasiekusių pagrindinį lygį nuo 36,4 proc. 2019 m. iki 52,6 proc. 2020 m. iki 57,1 proc. 2021 m.; biologijos dalyko – padidėjo abiturientų dalis, pasiekusių aukštesnįjį lygį nuo 15,4 proc. 2019 m. iki 33,3 proc. 2020 m. ir iki 48,8 proc. 2021 m.; fizikos dalyko – padidėjo abiturientų dalis, pasiekusių pagrindinį lygį nuo 0 proc. 2019 m. iki 25 proc. 2020 m. ir iki 50 proc. 2021 m.; chemijos dalyko – padidėjo abiturientų dalis, pasiekusių pagrindinį lygį nuo 33,3 proc. 2019 m. iki 44,4 proc. 2021 m; matematikos dalyko – padidėjo abiturientų dalis, pasiekusių pagrindinį lygį nuo 26,9 proc. 2019 m. iki 36 proc. 2021 m..</w:t>
      </w:r>
    </w:p>
    <w:p w14:paraId="59E27AF2" w14:textId="77777777" w:rsidR="00D5438B" w:rsidRPr="00D5438B" w:rsidRDefault="00D5438B" w:rsidP="00D5438B">
      <w:pPr>
        <w:shd w:val="clear" w:color="auto" w:fill="FFFFFF" w:themeFill="background1"/>
        <w:tabs>
          <w:tab w:val="left" w:pos="709"/>
          <w:tab w:val="left" w:pos="993"/>
        </w:tabs>
        <w:spacing w:after="0" w:line="240" w:lineRule="auto"/>
        <w:contextualSpacing/>
        <w:jc w:val="both"/>
        <w:rPr>
          <w:rFonts w:ascii="Times New Roman" w:eastAsia="Times New Roman" w:hAnsi="Times New Roman" w:cs="Times New Roman"/>
          <w:sz w:val="24"/>
          <w:szCs w:val="24"/>
        </w:rPr>
      </w:pPr>
    </w:p>
    <w:tbl>
      <w:tblPr>
        <w:tblStyle w:val="Lentelstinklelis3"/>
        <w:tblW w:w="0" w:type="auto"/>
        <w:tblInd w:w="137" w:type="dxa"/>
        <w:tblLook w:val="04A0" w:firstRow="1" w:lastRow="0" w:firstColumn="1" w:lastColumn="0" w:noHBand="0" w:noVBand="1"/>
      </w:tblPr>
      <w:tblGrid>
        <w:gridCol w:w="3402"/>
        <w:gridCol w:w="1843"/>
        <w:gridCol w:w="1839"/>
        <w:gridCol w:w="2272"/>
      </w:tblGrid>
      <w:tr w:rsidR="00D5438B" w:rsidRPr="00D5438B" w14:paraId="59E27AF7" w14:textId="77777777" w:rsidTr="00D03DA7">
        <w:tc>
          <w:tcPr>
            <w:tcW w:w="3402" w:type="dxa"/>
            <w:shd w:val="clear" w:color="auto" w:fill="DEEAF6" w:themeFill="accent1" w:themeFillTint="33"/>
          </w:tcPr>
          <w:p w14:paraId="59E27AF3"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b/>
                <w:sz w:val="24"/>
                <w:szCs w:val="24"/>
              </w:rPr>
            </w:pPr>
            <w:r w:rsidRPr="00D5438B">
              <w:rPr>
                <w:rFonts w:ascii="Times New Roman" w:eastAsia="Times New Roman" w:hAnsi="Times New Roman" w:cs="Times New Roman"/>
                <w:b/>
                <w:sz w:val="24"/>
                <w:szCs w:val="24"/>
              </w:rPr>
              <w:t>Apibendrintas VBE rodiklis</w:t>
            </w:r>
          </w:p>
        </w:tc>
        <w:tc>
          <w:tcPr>
            <w:tcW w:w="1843" w:type="dxa"/>
            <w:shd w:val="clear" w:color="auto" w:fill="DEEAF6" w:themeFill="accent1" w:themeFillTint="33"/>
          </w:tcPr>
          <w:p w14:paraId="59E27AF4"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b/>
                <w:sz w:val="24"/>
                <w:szCs w:val="24"/>
              </w:rPr>
            </w:pPr>
            <w:r w:rsidRPr="00D5438B">
              <w:rPr>
                <w:rFonts w:ascii="Times New Roman" w:eastAsia="Times New Roman" w:hAnsi="Times New Roman" w:cs="Times New Roman"/>
                <w:b/>
                <w:sz w:val="24"/>
                <w:szCs w:val="24"/>
              </w:rPr>
              <w:t>2018 m.</w:t>
            </w:r>
          </w:p>
        </w:tc>
        <w:tc>
          <w:tcPr>
            <w:tcW w:w="1839" w:type="dxa"/>
            <w:shd w:val="clear" w:color="auto" w:fill="DEEAF6" w:themeFill="accent1" w:themeFillTint="33"/>
          </w:tcPr>
          <w:p w14:paraId="59E27AF5"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b/>
                <w:sz w:val="24"/>
                <w:szCs w:val="24"/>
              </w:rPr>
            </w:pPr>
            <w:r w:rsidRPr="00D5438B">
              <w:rPr>
                <w:rFonts w:ascii="Times New Roman" w:eastAsia="Times New Roman" w:hAnsi="Times New Roman" w:cs="Times New Roman"/>
                <w:b/>
                <w:sz w:val="24"/>
                <w:szCs w:val="24"/>
              </w:rPr>
              <w:t>2019 m.</w:t>
            </w:r>
          </w:p>
        </w:tc>
        <w:tc>
          <w:tcPr>
            <w:tcW w:w="2272" w:type="dxa"/>
            <w:shd w:val="clear" w:color="auto" w:fill="DEEAF6" w:themeFill="accent1" w:themeFillTint="33"/>
          </w:tcPr>
          <w:p w14:paraId="59E27AF6"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b/>
                <w:sz w:val="24"/>
                <w:szCs w:val="24"/>
              </w:rPr>
            </w:pPr>
            <w:r w:rsidRPr="00D5438B">
              <w:rPr>
                <w:rFonts w:ascii="Times New Roman" w:eastAsia="Times New Roman" w:hAnsi="Times New Roman" w:cs="Times New Roman"/>
                <w:b/>
                <w:sz w:val="24"/>
                <w:szCs w:val="24"/>
              </w:rPr>
              <w:t>2020 m.</w:t>
            </w:r>
          </w:p>
        </w:tc>
      </w:tr>
      <w:tr w:rsidR="00D5438B" w:rsidRPr="00D5438B" w14:paraId="59E27AFC" w14:textId="77777777" w:rsidTr="00D03DA7">
        <w:tc>
          <w:tcPr>
            <w:tcW w:w="3402" w:type="dxa"/>
          </w:tcPr>
          <w:p w14:paraId="59E27AF8"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sz w:val="24"/>
                <w:szCs w:val="24"/>
              </w:rPr>
            </w:pPr>
            <w:r w:rsidRPr="00D5438B">
              <w:rPr>
                <w:rFonts w:ascii="Times New Roman" w:eastAsia="Times New Roman" w:hAnsi="Times New Roman" w:cs="Times New Roman"/>
                <w:sz w:val="24"/>
                <w:szCs w:val="24"/>
              </w:rPr>
              <w:t>Šalyje</w:t>
            </w:r>
          </w:p>
        </w:tc>
        <w:tc>
          <w:tcPr>
            <w:tcW w:w="1843" w:type="dxa"/>
          </w:tcPr>
          <w:p w14:paraId="59E27AF9" w14:textId="77777777" w:rsidR="00D5438B" w:rsidRPr="00D5438B" w:rsidRDefault="00A64CC6" w:rsidP="00581BC4">
            <w:pPr>
              <w:tabs>
                <w:tab w:val="left" w:pos="709"/>
                <w:tab w:val="left" w:pos="993"/>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197,6</w:t>
            </w:r>
          </w:p>
        </w:tc>
        <w:tc>
          <w:tcPr>
            <w:tcW w:w="1839" w:type="dxa"/>
          </w:tcPr>
          <w:p w14:paraId="59E27AFA" w14:textId="77777777" w:rsidR="00D5438B" w:rsidRPr="00D5438B" w:rsidRDefault="00A64CC6" w:rsidP="00581BC4">
            <w:pPr>
              <w:tabs>
                <w:tab w:val="left" w:pos="709"/>
                <w:tab w:val="left" w:pos="993"/>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p>
        </w:tc>
        <w:tc>
          <w:tcPr>
            <w:tcW w:w="2272" w:type="dxa"/>
          </w:tcPr>
          <w:p w14:paraId="59E27AFB" w14:textId="77777777" w:rsidR="00D5438B" w:rsidRPr="00D5438B" w:rsidRDefault="00A64CC6" w:rsidP="00581BC4">
            <w:pPr>
              <w:tabs>
                <w:tab w:val="left" w:pos="709"/>
                <w:tab w:val="left" w:pos="993"/>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196,8</w:t>
            </w:r>
          </w:p>
        </w:tc>
      </w:tr>
      <w:tr w:rsidR="00D5438B" w:rsidRPr="00D5438B" w14:paraId="59E27B01" w14:textId="77777777" w:rsidTr="00D03DA7">
        <w:tc>
          <w:tcPr>
            <w:tcW w:w="3402" w:type="dxa"/>
          </w:tcPr>
          <w:p w14:paraId="59E27AFD"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sz w:val="24"/>
                <w:szCs w:val="24"/>
              </w:rPr>
            </w:pPr>
            <w:r w:rsidRPr="00D5438B">
              <w:rPr>
                <w:rFonts w:ascii="Times New Roman" w:eastAsia="Times New Roman" w:hAnsi="Times New Roman" w:cs="Times New Roman"/>
                <w:sz w:val="24"/>
                <w:szCs w:val="24"/>
              </w:rPr>
              <w:t>Rajone</w:t>
            </w:r>
          </w:p>
        </w:tc>
        <w:tc>
          <w:tcPr>
            <w:tcW w:w="1843" w:type="dxa"/>
          </w:tcPr>
          <w:p w14:paraId="59E27AFE"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sz w:val="24"/>
                <w:szCs w:val="24"/>
              </w:rPr>
            </w:pPr>
            <w:r w:rsidRPr="00D5438B">
              <w:rPr>
                <w:rFonts w:ascii="Times New Roman" w:eastAsia="Times New Roman" w:hAnsi="Times New Roman" w:cs="Times New Roman"/>
                <w:sz w:val="24"/>
                <w:szCs w:val="24"/>
              </w:rPr>
              <w:t>200,0</w:t>
            </w:r>
          </w:p>
        </w:tc>
        <w:tc>
          <w:tcPr>
            <w:tcW w:w="1839" w:type="dxa"/>
          </w:tcPr>
          <w:p w14:paraId="59E27AFF"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sz w:val="24"/>
                <w:szCs w:val="24"/>
              </w:rPr>
            </w:pPr>
            <w:r w:rsidRPr="00D5438B">
              <w:rPr>
                <w:rFonts w:ascii="Times New Roman" w:eastAsia="Times New Roman" w:hAnsi="Times New Roman" w:cs="Times New Roman"/>
                <w:sz w:val="24"/>
                <w:szCs w:val="24"/>
              </w:rPr>
              <w:t>202,9</w:t>
            </w:r>
          </w:p>
        </w:tc>
        <w:tc>
          <w:tcPr>
            <w:tcW w:w="2272" w:type="dxa"/>
          </w:tcPr>
          <w:p w14:paraId="59E27B00" w14:textId="77777777" w:rsidR="00D5438B" w:rsidRPr="00D5438B" w:rsidRDefault="00D5438B" w:rsidP="00581BC4">
            <w:pPr>
              <w:tabs>
                <w:tab w:val="left" w:pos="709"/>
                <w:tab w:val="left" w:pos="993"/>
              </w:tabs>
              <w:contextualSpacing/>
              <w:jc w:val="center"/>
              <w:rPr>
                <w:rFonts w:ascii="Times New Roman" w:eastAsia="Times New Roman" w:hAnsi="Times New Roman" w:cs="Times New Roman"/>
                <w:sz w:val="24"/>
                <w:szCs w:val="24"/>
              </w:rPr>
            </w:pPr>
            <w:r w:rsidRPr="00D5438B">
              <w:rPr>
                <w:rFonts w:ascii="Times New Roman" w:eastAsia="Times New Roman" w:hAnsi="Times New Roman" w:cs="Times New Roman"/>
                <w:sz w:val="24"/>
                <w:szCs w:val="24"/>
              </w:rPr>
              <w:t>205,2</w:t>
            </w:r>
          </w:p>
        </w:tc>
      </w:tr>
    </w:tbl>
    <w:p w14:paraId="59E27B02" w14:textId="77777777" w:rsidR="00D5438B" w:rsidRPr="00D5438B" w:rsidRDefault="00D5438B" w:rsidP="00D5438B">
      <w:pPr>
        <w:shd w:val="clear" w:color="auto" w:fill="FFFFFF" w:themeFill="background1"/>
        <w:tabs>
          <w:tab w:val="left" w:pos="709"/>
          <w:tab w:val="left" w:pos="993"/>
        </w:tabs>
        <w:spacing w:after="0" w:line="240" w:lineRule="auto"/>
        <w:contextualSpacing/>
        <w:jc w:val="both"/>
        <w:rPr>
          <w:rFonts w:ascii="Times New Roman" w:eastAsia="Times New Roman" w:hAnsi="Times New Roman" w:cs="Times New Roman"/>
          <w:sz w:val="24"/>
          <w:szCs w:val="24"/>
        </w:rPr>
      </w:pPr>
    </w:p>
    <w:p w14:paraId="59E27B03" w14:textId="77777777" w:rsidR="00D5438B" w:rsidRDefault="00A64CC6" w:rsidP="00205DC3">
      <w:pPr>
        <w:spacing w:after="0" w:line="240" w:lineRule="auto"/>
        <w:jc w:val="center"/>
        <w:rPr>
          <w:rFonts w:ascii="Times New Roman" w:eastAsia="Times New Roman" w:hAnsi="Times New Roman" w:cs="Times New Roman"/>
          <w:color w:val="000000"/>
          <w:sz w:val="24"/>
          <w:szCs w:val="24"/>
          <w:lang w:eastAsia="lt-LT"/>
        </w:rPr>
      </w:pPr>
      <w:r w:rsidRPr="00DC0AF9">
        <w:rPr>
          <w:rFonts w:ascii="Times New Roman" w:eastAsia="Times New Roman" w:hAnsi="Times New Roman" w:cs="Times New Roman"/>
          <w:b/>
          <w:bCs/>
          <w:color w:val="000000"/>
          <w:sz w:val="24"/>
          <w:szCs w:val="24"/>
          <w:lang w:eastAsia="lt-LT"/>
        </w:rPr>
        <w:t>Pagrindinio ugdymo lietuvių kalbos ir literatūros bei matematikos pasiekimų patikrinimo metu bent pagrindinį mokymosi pasiekimų lygį pasiekusių mokinių dalis</w:t>
      </w:r>
      <w:r w:rsidRPr="00DC0AF9">
        <w:rPr>
          <w:rFonts w:ascii="Times New Roman" w:eastAsia="Times New Roman" w:hAnsi="Times New Roman" w:cs="Times New Roman"/>
          <w:color w:val="000000"/>
          <w:sz w:val="24"/>
          <w:szCs w:val="24"/>
          <w:lang w:eastAsia="lt-LT"/>
        </w:rPr>
        <w:t> </w:t>
      </w:r>
    </w:p>
    <w:p w14:paraId="59E27B04" w14:textId="77777777" w:rsidR="00285325" w:rsidRDefault="00285325" w:rsidP="00205DC3">
      <w:pPr>
        <w:spacing w:after="0" w:line="240" w:lineRule="auto"/>
        <w:jc w:val="center"/>
        <w:rPr>
          <w:rFonts w:ascii="Times New Roman" w:eastAsia="Times New Roman" w:hAnsi="Times New Roman" w:cs="Times New Roman"/>
          <w:color w:val="000000"/>
          <w:sz w:val="24"/>
          <w:szCs w:val="24"/>
          <w:lang w:eastAsia="lt-LT"/>
        </w:rPr>
      </w:pPr>
    </w:p>
    <w:tbl>
      <w:tblPr>
        <w:tblStyle w:val="Lentelstinklelis"/>
        <w:tblW w:w="0" w:type="auto"/>
        <w:tblInd w:w="704" w:type="dxa"/>
        <w:tblLook w:val="04A0" w:firstRow="1" w:lastRow="0" w:firstColumn="1" w:lastColumn="0" w:noHBand="0" w:noVBand="1"/>
      </w:tblPr>
      <w:tblGrid>
        <w:gridCol w:w="2830"/>
        <w:gridCol w:w="3119"/>
        <w:gridCol w:w="1984"/>
      </w:tblGrid>
      <w:tr w:rsidR="00581BC4" w14:paraId="59E27B08" w14:textId="77777777" w:rsidTr="00AE2997">
        <w:tc>
          <w:tcPr>
            <w:tcW w:w="2830" w:type="dxa"/>
            <w:shd w:val="clear" w:color="auto" w:fill="DEEAF6" w:themeFill="accent1" w:themeFillTint="33"/>
          </w:tcPr>
          <w:p w14:paraId="59E27B05" w14:textId="77777777" w:rsidR="00581BC4" w:rsidRDefault="00581BC4" w:rsidP="00581BC4">
            <w:pPr>
              <w:jc w:val="center"/>
              <w:rPr>
                <w:rFonts w:ascii="Times New Roman" w:hAnsi="Times New Roman" w:cs="Times New Roman"/>
                <w:b/>
                <w:sz w:val="24"/>
                <w:szCs w:val="24"/>
              </w:rPr>
            </w:pPr>
            <w:r>
              <w:rPr>
                <w:rFonts w:ascii="Times New Roman" w:hAnsi="Times New Roman" w:cs="Times New Roman"/>
                <w:b/>
                <w:sz w:val="24"/>
                <w:szCs w:val="24"/>
              </w:rPr>
              <w:t>Mokslo metai</w:t>
            </w:r>
          </w:p>
        </w:tc>
        <w:tc>
          <w:tcPr>
            <w:tcW w:w="3119" w:type="dxa"/>
            <w:shd w:val="clear" w:color="auto" w:fill="DEEAF6" w:themeFill="accent1" w:themeFillTint="33"/>
          </w:tcPr>
          <w:p w14:paraId="59E27B06" w14:textId="77777777" w:rsidR="00581BC4" w:rsidRDefault="00581BC4" w:rsidP="00581BC4">
            <w:pPr>
              <w:jc w:val="center"/>
              <w:rPr>
                <w:rFonts w:ascii="Times New Roman" w:hAnsi="Times New Roman" w:cs="Times New Roman"/>
                <w:b/>
                <w:sz w:val="24"/>
                <w:szCs w:val="24"/>
              </w:rPr>
            </w:pPr>
            <w:r>
              <w:rPr>
                <w:rFonts w:ascii="Times New Roman" w:hAnsi="Times New Roman" w:cs="Times New Roman"/>
                <w:b/>
                <w:sz w:val="24"/>
                <w:szCs w:val="24"/>
              </w:rPr>
              <w:t>Lietuvių kalba ir literatūra</w:t>
            </w:r>
          </w:p>
        </w:tc>
        <w:tc>
          <w:tcPr>
            <w:tcW w:w="1984" w:type="dxa"/>
            <w:shd w:val="clear" w:color="auto" w:fill="DEEAF6" w:themeFill="accent1" w:themeFillTint="33"/>
          </w:tcPr>
          <w:p w14:paraId="59E27B07" w14:textId="77777777" w:rsidR="00581BC4" w:rsidRDefault="00581BC4" w:rsidP="00581BC4">
            <w:pPr>
              <w:jc w:val="center"/>
              <w:rPr>
                <w:rFonts w:ascii="Times New Roman" w:hAnsi="Times New Roman" w:cs="Times New Roman"/>
                <w:b/>
                <w:sz w:val="24"/>
                <w:szCs w:val="24"/>
              </w:rPr>
            </w:pPr>
            <w:r>
              <w:rPr>
                <w:rFonts w:ascii="Times New Roman" w:hAnsi="Times New Roman" w:cs="Times New Roman"/>
                <w:b/>
                <w:sz w:val="24"/>
                <w:szCs w:val="24"/>
              </w:rPr>
              <w:t>Matematika</w:t>
            </w:r>
          </w:p>
        </w:tc>
      </w:tr>
      <w:tr w:rsidR="00581BC4" w14:paraId="59E27B0C" w14:textId="77777777" w:rsidTr="00AE2997">
        <w:tc>
          <w:tcPr>
            <w:tcW w:w="2830" w:type="dxa"/>
          </w:tcPr>
          <w:p w14:paraId="59E27B09"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2017-2018</w:t>
            </w:r>
          </w:p>
        </w:tc>
        <w:tc>
          <w:tcPr>
            <w:tcW w:w="3119" w:type="dxa"/>
          </w:tcPr>
          <w:p w14:paraId="59E27B0A"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59 proc.</w:t>
            </w:r>
          </w:p>
        </w:tc>
        <w:tc>
          <w:tcPr>
            <w:tcW w:w="1984" w:type="dxa"/>
          </w:tcPr>
          <w:p w14:paraId="59E27B0B"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30 proc.</w:t>
            </w:r>
          </w:p>
        </w:tc>
      </w:tr>
      <w:tr w:rsidR="00581BC4" w14:paraId="59E27B10" w14:textId="77777777" w:rsidTr="00AE2997">
        <w:tc>
          <w:tcPr>
            <w:tcW w:w="2830" w:type="dxa"/>
          </w:tcPr>
          <w:p w14:paraId="59E27B0D"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2018-2019</w:t>
            </w:r>
          </w:p>
        </w:tc>
        <w:tc>
          <w:tcPr>
            <w:tcW w:w="3119" w:type="dxa"/>
          </w:tcPr>
          <w:p w14:paraId="59E27B0E"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63 proc.</w:t>
            </w:r>
          </w:p>
        </w:tc>
        <w:tc>
          <w:tcPr>
            <w:tcW w:w="1984" w:type="dxa"/>
          </w:tcPr>
          <w:p w14:paraId="59E27B0F"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34 proc.</w:t>
            </w:r>
          </w:p>
        </w:tc>
      </w:tr>
      <w:tr w:rsidR="00581BC4" w14:paraId="59E27B14" w14:textId="77777777" w:rsidTr="00AE2997">
        <w:tc>
          <w:tcPr>
            <w:tcW w:w="2830" w:type="dxa"/>
          </w:tcPr>
          <w:p w14:paraId="59E27B11"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2020-2021</w:t>
            </w:r>
          </w:p>
        </w:tc>
        <w:tc>
          <w:tcPr>
            <w:tcW w:w="3119" w:type="dxa"/>
          </w:tcPr>
          <w:p w14:paraId="59E27B12"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68 proc.</w:t>
            </w:r>
          </w:p>
        </w:tc>
        <w:tc>
          <w:tcPr>
            <w:tcW w:w="1984" w:type="dxa"/>
          </w:tcPr>
          <w:p w14:paraId="59E27B13" w14:textId="77777777" w:rsidR="00581BC4" w:rsidRPr="00AE2997" w:rsidRDefault="00581BC4" w:rsidP="00581BC4">
            <w:pPr>
              <w:jc w:val="center"/>
              <w:rPr>
                <w:rFonts w:ascii="Times New Roman" w:hAnsi="Times New Roman" w:cs="Times New Roman"/>
                <w:sz w:val="24"/>
                <w:szCs w:val="24"/>
              </w:rPr>
            </w:pPr>
            <w:r w:rsidRPr="00AE2997">
              <w:rPr>
                <w:rFonts w:ascii="Times New Roman" w:hAnsi="Times New Roman" w:cs="Times New Roman"/>
                <w:sz w:val="24"/>
                <w:szCs w:val="24"/>
              </w:rPr>
              <w:t>53 proc.</w:t>
            </w:r>
          </w:p>
        </w:tc>
      </w:tr>
    </w:tbl>
    <w:p w14:paraId="59E27B15" w14:textId="77777777" w:rsidR="009F1FBC" w:rsidRDefault="009F1FBC" w:rsidP="00AE2997">
      <w:pPr>
        <w:spacing w:after="0" w:line="240" w:lineRule="auto"/>
        <w:jc w:val="center"/>
        <w:rPr>
          <w:rFonts w:ascii="Times New Roman" w:eastAsia="Times New Roman" w:hAnsi="Times New Roman" w:cs="Times New Roman"/>
          <w:b/>
          <w:sz w:val="24"/>
          <w:szCs w:val="24"/>
        </w:rPr>
      </w:pPr>
    </w:p>
    <w:p w14:paraId="59E27B16" w14:textId="77777777" w:rsidR="00581BC4" w:rsidRPr="00581BC4" w:rsidRDefault="00581BC4" w:rsidP="00AE2997">
      <w:pPr>
        <w:spacing w:after="0" w:line="240" w:lineRule="auto"/>
        <w:jc w:val="center"/>
        <w:rPr>
          <w:rFonts w:ascii="Times New Roman" w:eastAsia="Times New Roman" w:hAnsi="Times New Roman" w:cs="Times New Roman"/>
          <w:b/>
          <w:caps/>
          <w:sz w:val="24"/>
          <w:szCs w:val="24"/>
        </w:rPr>
      </w:pPr>
      <w:r w:rsidRPr="00581BC4">
        <w:rPr>
          <w:rFonts w:ascii="Times New Roman" w:eastAsia="Times New Roman" w:hAnsi="Times New Roman" w:cs="Times New Roman"/>
          <w:b/>
          <w:sz w:val="24"/>
          <w:szCs w:val="24"/>
        </w:rPr>
        <w:t>Kaip tęsė mokslą pagrindinio ugdymo programą</w:t>
      </w:r>
      <w:r w:rsidR="00D431D4">
        <w:rPr>
          <w:rFonts w:ascii="Times New Roman" w:eastAsia="Times New Roman" w:hAnsi="Times New Roman" w:cs="Times New Roman"/>
          <w:b/>
          <w:sz w:val="24"/>
          <w:szCs w:val="24"/>
        </w:rPr>
        <w:t xml:space="preserve"> </w:t>
      </w:r>
      <w:r w:rsidR="00D431D4" w:rsidRPr="00581BC4">
        <w:rPr>
          <w:rFonts w:ascii="Times New Roman" w:eastAsia="Times New Roman" w:hAnsi="Times New Roman" w:cs="Times New Roman"/>
          <w:b/>
          <w:sz w:val="24"/>
          <w:szCs w:val="24"/>
        </w:rPr>
        <w:t>baigę savivaldybės mokyklų mokiniai</w:t>
      </w:r>
    </w:p>
    <w:p w14:paraId="59E27B17" w14:textId="77777777" w:rsidR="00581BC4" w:rsidRPr="00581BC4" w:rsidRDefault="00581BC4" w:rsidP="00AE2997">
      <w:pPr>
        <w:spacing w:after="0" w:line="240" w:lineRule="auto"/>
        <w:jc w:val="center"/>
        <w:rPr>
          <w:rFonts w:ascii="Times New Roman" w:eastAsia="Times New Roman" w:hAnsi="Times New Roman" w:cs="Times New Roman"/>
          <w:b/>
          <w:sz w:val="24"/>
          <w:szCs w:val="24"/>
        </w:rPr>
      </w:pPr>
    </w:p>
    <w:p w14:paraId="59E27B18" w14:textId="77777777" w:rsidR="00581BC4" w:rsidRPr="00625CDF" w:rsidRDefault="00581BC4" w:rsidP="00D42386">
      <w:pPr>
        <w:spacing w:after="0" w:line="240" w:lineRule="auto"/>
        <w:ind w:left="567" w:firstLine="218"/>
        <w:jc w:val="both"/>
        <w:rPr>
          <w:rFonts w:ascii="Times New Roman" w:hAnsi="Times New Roman" w:cs="Times New Roman"/>
          <w:sz w:val="24"/>
          <w:szCs w:val="24"/>
        </w:rPr>
      </w:pPr>
      <w:r w:rsidRPr="00625CDF">
        <w:rPr>
          <w:rFonts w:ascii="Times New Roman" w:hAnsi="Times New Roman" w:cs="Times New Roman"/>
          <w:bCs/>
          <w:i/>
          <w:iCs/>
          <w:sz w:val="24"/>
          <w:szCs w:val="24"/>
        </w:rPr>
        <w:t>Kaip tęsė mokslą pagrindinio ugdymo programą 2019–2021 m. baigę</w:t>
      </w:r>
      <w:r w:rsidR="00AE2997" w:rsidRPr="00625CDF">
        <w:rPr>
          <w:rFonts w:ascii="Times New Roman" w:hAnsi="Times New Roman" w:cs="Times New Roman"/>
          <w:bCs/>
          <w:i/>
          <w:iCs/>
          <w:sz w:val="24"/>
          <w:szCs w:val="24"/>
        </w:rPr>
        <w:t xml:space="preserve"> </w:t>
      </w:r>
      <w:r w:rsidR="00D42386" w:rsidRPr="00625CDF">
        <w:rPr>
          <w:rFonts w:ascii="Times New Roman" w:hAnsi="Times New Roman" w:cs="Times New Roman"/>
          <w:bCs/>
          <w:i/>
          <w:iCs/>
          <w:sz w:val="24"/>
          <w:szCs w:val="24"/>
        </w:rPr>
        <w:t xml:space="preserve">Savivaldybės mokyklų </w:t>
      </w:r>
      <w:r w:rsidRPr="00625CDF">
        <w:rPr>
          <w:rFonts w:ascii="Times New Roman" w:hAnsi="Times New Roman" w:cs="Times New Roman"/>
          <w:bCs/>
          <w:i/>
          <w:iCs/>
          <w:sz w:val="24"/>
          <w:szCs w:val="24"/>
        </w:rPr>
        <w:t>mokiniai</w:t>
      </w:r>
      <w:r w:rsidR="00AE2997" w:rsidRPr="00625CDF">
        <w:rPr>
          <w:rFonts w:ascii="Times New Roman" w:hAnsi="Times New Roman" w:cs="Times New Roman"/>
          <w:bCs/>
          <w:i/>
          <w:iCs/>
          <w:sz w:val="24"/>
          <w:szCs w:val="24"/>
        </w:rPr>
        <w:t>:</w:t>
      </w:r>
    </w:p>
    <w:tbl>
      <w:tblPr>
        <w:tblW w:w="9214" w:type="dxa"/>
        <w:tblInd w:w="137" w:type="dxa"/>
        <w:tblLayout w:type="fixed"/>
        <w:tblLook w:val="04A0" w:firstRow="1" w:lastRow="0" w:firstColumn="1" w:lastColumn="0" w:noHBand="0" w:noVBand="1"/>
      </w:tblPr>
      <w:tblGrid>
        <w:gridCol w:w="1473"/>
        <w:gridCol w:w="2638"/>
        <w:gridCol w:w="2126"/>
        <w:gridCol w:w="1559"/>
        <w:gridCol w:w="1418"/>
      </w:tblGrid>
      <w:tr w:rsidR="00581BC4" w:rsidRPr="00581BC4" w14:paraId="59E27B1E" w14:textId="77777777" w:rsidTr="00D42386">
        <w:trPr>
          <w:trHeight w:val="855"/>
        </w:trPr>
        <w:tc>
          <w:tcPr>
            <w:tcW w:w="1473" w:type="dxa"/>
            <w:tcBorders>
              <w:top w:val="single" w:sz="4" w:space="0" w:color="auto"/>
              <w:left w:val="single" w:sz="4" w:space="0" w:color="auto"/>
              <w:bottom w:val="single" w:sz="4" w:space="0" w:color="auto"/>
              <w:right w:val="single" w:sz="4" w:space="0" w:color="auto"/>
            </w:tcBorders>
            <w:shd w:val="clear" w:color="DCE6F1" w:fill="DCE6F1"/>
            <w:hideMark/>
          </w:tcPr>
          <w:p w14:paraId="59E27B19"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 Mokslo metai</w:t>
            </w:r>
          </w:p>
        </w:tc>
        <w:tc>
          <w:tcPr>
            <w:tcW w:w="2638" w:type="dxa"/>
            <w:tcBorders>
              <w:top w:val="single" w:sz="4" w:space="0" w:color="auto"/>
              <w:left w:val="nil"/>
              <w:bottom w:val="single" w:sz="4" w:space="0" w:color="auto"/>
              <w:right w:val="single" w:sz="4" w:space="0" w:color="auto"/>
            </w:tcBorders>
            <w:shd w:val="clear" w:color="DCE6F1" w:fill="DCE6F1"/>
            <w:hideMark/>
          </w:tcPr>
          <w:p w14:paraId="59E27B1A"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bendrojo ugdymo mokykloje</w:t>
            </w:r>
          </w:p>
        </w:tc>
        <w:tc>
          <w:tcPr>
            <w:tcW w:w="2126" w:type="dxa"/>
            <w:tcBorders>
              <w:top w:val="single" w:sz="4" w:space="0" w:color="auto"/>
              <w:left w:val="nil"/>
              <w:bottom w:val="single" w:sz="4" w:space="0" w:color="auto"/>
              <w:right w:val="single" w:sz="4" w:space="0" w:color="auto"/>
            </w:tcBorders>
            <w:shd w:val="clear" w:color="DCE6F1" w:fill="DCE6F1"/>
            <w:hideMark/>
          </w:tcPr>
          <w:p w14:paraId="59E27B1B"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profesinėje mokykloje</w:t>
            </w:r>
          </w:p>
        </w:tc>
        <w:tc>
          <w:tcPr>
            <w:tcW w:w="1559" w:type="dxa"/>
            <w:tcBorders>
              <w:top w:val="single" w:sz="4" w:space="0" w:color="auto"/>
              <w:left w:val="nil"/>
              <w:bottom w:val="single" w:sz="4" w:space="0" w:color="auto"/>
              <w:right w:val="single" w:sz="4" w:space="0" w:color="auto"/>
            </w:tcBorders>
            <w:shd w:val="clear" w:color="DCE6F1" w:fill="DCE6F1"/>
            <w:hideMark/>
          </w:tcPr>
          <w:p w14:paraId="59E27B1C"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Kita veikla</w:t>
            </w:r>
          </w:p>
        </w:tc>
        <w:tc>
          <w:tcPr>
            <w:tcW w:w="1418" w:type="dxa"/>
            <w:tcBorders>
              <w:top w:val="single" w:sz="4" w:space="0" w:color="auto"/>
              <w:left w:val="nil"/>
              <w:bottom w:val="single" w:sz="4" w:space="0" w:color="auto"/>
              <w:right w:val="single" w:sz="4" w:space="0" w:color="auto"/>
            </w:tcBorders>
            <w:shd w:val="clear" w:color="DCE6F1" w:fill="DCE6F1"/>
            <w:hideMark/>
          </w:tcPr>
          <w:p w14:paraId="59E27B1D"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Iš viso</w:t>
            </w:r>
          </w:p>
        </w:tc>
      </w:tr>
      <w:tr w:rsidR="00581BC4" w:rsidRPr="00581BC4" w14:paraId="59E27B24" w14:textId="77777777" w:rsidTr="00D42386">
        <w:trPr>
          <w:trHeight w:val="255"/>
        </w:trPr>
        <w:tc>
          <w:tcPr>
            <w:tcW w:w="1473" w:type="dxa"/>
            <w:tcBorders>
              <w:top w:val="nil"/>
              <w:left w:val="single" w:sz="4" w:space="0" w:color="auto"/>
              <w:bottom w:val="single" w:sz="4" w:space="0" w:color="auto"/>
              <w:right w:val="single" w:sz="4" w:space="0" w:color="auto"/>
            </w:tcBorders>
            <w:shd w:val="clear" w:color="DCE6F1" w:fill="FFFFFF"/>
            <w:noWrap/>
            <w:vAlign w:val="bottom"/>
            <w:hideMark/>
          </w:tcPr>
          <w:p w14:paraId="59E27B1F"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2020-2021</w:t>
            </w:r>
          </w:p>
        </w:tc>
        <w:tc>
          <w:tcPr>
            <w:tcW w:w="2638" w:type="dxa"/>
            <w:tcBorders>
              <w:top w:val="nil"/>
              <w:left w:val="nil"/>
              <w:bottom w:val="single" w:sz="4" w:space="0" w:color="auto"/>
              <w:right w:val="single" w:sz="4" w:space="0" w:color="auto"/>
            </w:tcBorders>
            <w:shd w:val="clear" w:color="DCE6F1" w:fill="FFFFFF"/>
            <w:noWrap/>
            <w:vAlign w:val="bottom"/>
            <w:hideMark/>
          </w:tcPr>
          <w:p w14:paraId="59E27B20"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253</w:t>
            </w:r>
          </w:p>
        </w:tc>
        <w:tc>
          <w:tcPr>
            <w:tcW w:w="2126" w:type="dxa"/>
            <w:tcBorders>
              <w:top w:val="nil"/>
              <w:left w:val="nil"/>
              <w:bottom w:val="single" w:sz="4" w:space="0" w:color="auto"/>
              <w:right w:val="single" w:sz="4" w:space="0" w:color="auto"/>
            </w:tcBorders>
            <w:shd w:val="clear" w:color="DCE6F1" w:fill="FFFFFF"/>
            <w:noWrap/>
            <w:vAlign w:val="bottom"/>
            <w:hideMark/>
          </w:tcPr>
          <w:p w14:paraId="59E27B21"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46</w:t>
            </w:r>
          </w:p>
        </w:tc>
        <w:tc>
          <w:tcPr>
            <w:tcW w:w="1559" w:type="dxa"/>
            <w:tcBorders>
              <w:top w:val="nil"/>
              <w:left w:val="nil"/>
              <w:bottom w:val="single" w:sz="4" w:space="0" w:color="auto"/>
              <w:right w:val="single" w:sz="4" w:space="0" w:color="auto"/>
            </w:tcBorders>
            <w:shd w:val="clear" w:color="DCE6F1" w:fill="FFFFFF"/>
            <w:noWrap/>
            <w:vAlign w:val="bottom"/>
            <w:hideMark/>
          </w:tcPr>
          <w:p w14:paraId="59E27B22"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57</w:t>
            </w:r>
          </w:p>
        </w:tc>
        <w:tc>
          <w:tcPr>
            <w:tcW w:w="1418" w:type="dxa"/>
            <w:tcBorders>
              <w:top w:val="nil"/>
              <w:left w:val="nil"/>
              <w:bottom w:val="single" w:sz="4" w:space="0" w:color="auto"/>
              <w:right w:val="single" w:sz="4" w:space="0" w:color="auto"/>
            </w:tcBorders>
            <w:shd w:val="clear" w:color="DCE6F1" w:fill="FFFFFF"/>
            <w:noWrap/>
            <w:vAlign w:val="bottom"/>
            <w:hideMark/>
          </w:tcPr>
          <w:p w14:paraId="59E27B23"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356</w:t>
            </w:r>
          </w:p>
        </w:tc>
      </w:tr>
      <w:tr w:rsidR="00581BC4" w:rsidRPr="00581BC4" w14:paraId="59E27B2A" w14:textId="77777777" w:rsidTr="00D42386">
        <w:trPr>
          <w:trHeight w:val="255"/>
        </w:trPr>
        <w:tc>
          <w:tcPr>
            <w:tcW w:w="1473" w:type="dxa"/>
            <w:tcBorders>
              <w:top w:val="nil"/>
              <w:left w:val="single" w:sz="4" w:space="0" w:color="auto"/>
              <w:bottom w:val="single" w:sz="4" w:space="0" w:color="auto"/>
              <w:right w:val="single" w:sz="4" w:space="0" w:color="auto"/>
            </w:tcBorders>
            <w:shd w:val="clear" w:color="DCE6F1" w:fill="FFFFFF"/>
            <w:noWrap/>
            <w:vAlign w:val="bottom"/>
            <w:hideMark/>
          </w:tcPr>
          <w:p w14:paraId="59E27B25"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2019-2020</w:t>
            </w:r>
          </w:p>
        </w:tc>
        <w:tc>
          <w:tcPr>
            <w:tcW w:w="2638" w:type="dxa"/>
            <w:tcBorders>
              <w:top w:val="nil"/>
              <w:left w:val="nil"/>
              <w:bottom w:val="single" w:sz="4" w:space="0" w:color="auto"/>
              <w:right w:val="single" w:sz="4" w:space="0" w:color="auto"/>
            </w:tcBorders>
            <w:shd w:val="clear" w:color="DCE6F1" w:fill="FFFFFF"/>
            <w:noWrap/>
            <w:vAlign w:val="bottom"/>
            <w:hideMark/>
          </w:tcPr>
          <w:p w14:paraId="59E27B26"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266</w:t>
            </w:r>
          </w:p>
        </w:tc>
        <w:tc>
          <w:tcPr>
            <w:tcW w:w="2126" w:type="dxa"/>
            <w:tcBorders>
              <w:top w:val="nil"/>
              <w:left w:val="nil"/>
              <w:bottom w:val="single" w:sz="4" w:space="0" w:color="auto"/>
              <w:right w:val="single" w:sz="4" w:space="0" w:color="auto"/>
            </w:tcBorders>
            <w:shd w:val="clear" w:color="DCE6F1" w:fill="FFFFFF"/>
            <w:noWrap/>
            <w:vAlign w:val="bottom"/>
            <w:hideMark/>
          </w:tcPr>
          <w:p w14:paraId="59E27B27"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59</w:t>
            </w:r>
          </w:p>
        </w:tc>
        <w:tc>
          <w:tcPr>
            <w:tcW w:w="1559" w:type="dxa"/>
            <w:tcBorders>
              <w:top w:val="nil"/>
              <w:left w:val="nil"/>
              <w:bottom w:val="single" w:sz="4" w:space="0" w:color="auto"/>
              <w:right w:val="single" w:sz="4" w:space="0" w:color="auto"/>
            </w:tcBorders>
            <w:shd w:val="clear" w:color="DCE6F1" w:fill="FFFFFF"/>
            <w:noWrap/>
            <w:vAlign w:val="bottom"/>
            <w:hideMark/>
          </w:tcPr>
          <w:p w14:paraId="59E27B28"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52</w:t>
            </w:r>
          </w:p>
        </w:tc>
        <w:tc>
          <w:tcPr>
            <w:tcW w:w="1418" w:type="dxa"/>
            <w:tcBorders>
              <w:top w:val="nil"/>
              <w:left w:val="nil"/>
              <w:bottom w:val="single" w:sz="4" w:space="0" w:color="auto"/>
              <w:right w:val="single" w:sz="4" w:space="0" w:color="auto"/>
            </w:tcBorders>
            <w:shd w:val="clear" w:color="DCE6F1" w:fill="FFFFFF"/>
            <w:noWrap/>
            <w:vAlign w:val="bottom"/>
            <w:hideMark/>
          </w:tcPr>
          <w:p w14:paraId="59E27B29"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377</w:t>
            </w:r>
          </w:p>
        </w:tc>
      </w:tr>
      <w:tr w:rsidR="00581BC4" w:rsidRPr="00581BC4" w14:paraId="59E27B30" w14:textId="77777777" w:rsidTr="00D42386">
        <w:trPr>
          <w:trHeight w:val="255"/>
        </w:trPr>
        <w:tc>
          <w:tcPr>
            <w:tcW w:w="1473" w:type="dxa"/>
            <w:tcBorders>
              <w:top w:val="nil"/>
              <w:left w:val="single" w:sz="4" w:space="0" w:color="auto"/>
              <w:bottom w:val="single" w:sz="4" w:space="0" w:color="auto"/>
              <w:right w:val="single" w:sz="4" w:space="0" w:color="auto"/>
            </w:tcBorders>
            <w:shd w:val="clear" w:color="DCE6F1" w:fill="FFFFFF"/>
            <w:noWrap/>
            <w:vAlign w:val="bottom"/>
            <w:hideMark/>
          </w:tcPr>
          <w:p w14:paraId="59E27B2B"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2018-2019</w:t>
            </w:r>
          </w:p>
        </w:tc>
        <w:tc>
          <w:tcPr>
            <w:tcW w:w="2638" w:type="dxa"/>
            <w:tcBorders>
              <w:top w:val="nil"/>
              <w:left w:val="nil"/>
              <w:bottom w:val="single" w:sz="4" w:space="0" w:color="auto"/>
              <w:right w:val="single" w:sz="4" w:space="0" w:color="auto"/>
            </w:tcBorders>
            <w:shd w:val="clear" w:color="DCE6F1" w:fill="FFFFFF"/>
            <w:noWrap/>
            <w:vAlign w:val="bottom"/>
            <w:hideMark/>
          </w:tcPr>
          <w:p w14:paraId="59E27B2C"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300</w:t>
            </w:r>
          </w:p>
        </w:tc>
        <w:tc>
          <w:tcPr>
            <w:tcW w:w="2126" w:type="dxa"/>
            <w:tcBorders>
              <w:top w:val="nil"/>
              <w:left w:val="nil"/>
              <w:bottom w:val="single" w:sz="4" w:space="0" w:color="auto"/>
              <w:right w:val="single" w:sz="4" w:space="0" w:color="auto"/>
            </w:tcBorders>
            <w:shd w:val="clear" w:color="DCE6F1" w:fill="FFFFFF"/>
            <w:noWrap/>
            <w:vAlign w:val="bottom"/>
            <w:hideMark/>
          </w:tcPr>
          <w:p w14:paraId="59E27B2D"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45</w:t>
            </w:r>
          </w:p>
        </w:tc>
        <w:tc>
          <w:tcPr>
            <w:tcW w:w="1559" w:type="dxa"/>
            <w:tcBorders>
              <w:top w:val="nil"/>
              <w:left w:val="nil"/>
              <w:bottom w:val="single" w:sz="4" w:space="0" w:color="auto"/>
              <w:right w:val="single" w:sz="4" w:space="0" w:color="auto"/>
            </w:tcBorders>
            <w:shd w:val="clear" w:color="DCE6F1" w:fill="FFFFFF"/>
            <w:noWrap/>
            <w:vAlign w:val="bottom"/>
            <w:hideMark/>
          </w:tcPr>
          <w:p w14:paraId="59E27B2E"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50</w:t>
            </w:r>
          </w:p>
        </w:tc>
        <w:tc>
          <w:tcPr>
            <w:tcW w:w="1418" w:type="dxa"/>
            <w:tcBorders>
              <w:top w:val="nil"/>
              <w:left w:val="nil"/>
              <w:bottom w:val="single" w:sz="4" w:space="0" w:color="auto"/>
              <w:right w:val="single" w:sz="4" w:space="0" w:color="auto"/>
            </w:tcBorders>
            <w:shd w:val="clear" w:color="DCE6F1" w:fill="FFFFFF"/>
            <w:noWrap/>
            <w:vAlign w:val="bottom"/>
            <w:hideMark/>
          </w:tcPr>
          <w:p w14:paraId="59E27B2F" w14:textId="77777777" w:rsidR="00581BC4" w:rsidRPr="00581BC4" w:rsidRDefault="00581BC4" w:rsidP="00581BC4">
            <w:pPr>
              <w:spacing w:after="0" w:line="240" w:lineRule="auto"/>
              <w:jc w:val="right"/>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395</w:t>
            </w:r>
          </w:p>
        </w:tc>
      </w:tr>
    </w:tbl>
    <w:p w14:paraId="59E27B31" w14:textId="77777777" w:rsidR="00581BC4" w:rsidRPr="00581BC4" w:rsidRDefault="00581BC4" w:rsidP="00AE2997">
      <w:pPr>
        <w:spacing w:after="0" w:line="240" w:lineRule="auto"/>
        <w:jc w:val="both"/>
        <w:rPr>
          <w:rFonts w:ascii="Times New Roman" w:hAnsi="Times New Roman" w:cs="Times New Roman"/>
          <w:iCs/>
          <w:sz w:val="24"/>
          <w:szCs w:val="24"/>
        </w:rPr>
      </w:pPr>
      <w:r w:rsidRPr="00581BC4">
        <w:rPr>
          <w:rFonts w:ascii="Times New Roman" w:hAnsi="Times New Roman" w:cs="Times New Roman"/>
          <w:i/>
        </w:rPr>
        <w:tab/>
      </w:r>
      <w:r w:rsidRPr="00581BC4">
        <w:rPr>
          <w:rFonts w:ascii="Times New Roman" w:hAnsi="Times New Roman" w:cs="Times New Roman"/>
          <w:iCs/>
          <w:sz w:val="24"/>
          <w:szCs w:val="24"/>
        </w:rPr>
        <w:t>Per trejus metus 5 procentiniais punktais sumažėjo mokinių, tęsiančių mokslą bendrojo ugdymo mokyklose; 3 procentiniais punktais padaugėjo mokinių, niekur nesimokančių po pagrindinio ugdymo programos baigimo.</w:t>
      </w:r>
    </w:p>
    <w:p w14:paraId="59E27B32" w14:textId="77777777" w:rsidR="00D42386" w:rsidRDefault="00581BC4" w:rsidP="00581BC4">
      <w:pPr>
        <w:spacing w:after="0" w:line="240" w:lineRule="auto"/>
        <w:ind w:left="-425"/>
        <w:jc w:val="both"/>
        <w:rPr>
          <w:rFonts w:ascii="Times New Roman" w:hAnsi="Times New Roman" w:cs="Times New Roman"/>
          <w:b/>
          <w:sz w:val="24"/>
          <w:szCs w:val="24"/>
        </w:rPr>
      </w:pPr>
      <w:r w:rsidRPr="00581BC4">
        <w:rPr>
          <w:rFonts w:ascii="Times New Roman" w:hAnsi="Times New Roman" w:cs="Times New Roman"/>
          <w:b/>
          <w:sz w:val="24"/>
          <w:szCs w:val="24"/>
        </w:rPr>
        <w:tab/>
      </w:r>
    </w:p>
    <w:p w14:paraId="59E27B33" w14:textId="77777777" w:rsidR="00581BC4" w:rsidRPr="00625CDF" w:rsidRDefault="00581BC4" w:rsidP="00D42386">
      <w:pPr>
        <w:spacing w:after="0" w:line="240" w:lineRule="auto"/>
        <w:ind w:left="426" w:hanging="426"/>
        <w:jc w:val="both"/>
        <w:rPr>
          <w:rFonts w:ascii="Times New Roman" w:hAnsi="Times New Roman" w:cs="Times New Roman"/>
          <w:bCs/>
          <w:sz w:val="24"/>
          <w:szCs w:val="24"/>
        </w:rPr>
      </w:pPr>
      <w:r w:rsidRPr="00625CDF">
        <w:rPr>
          <w:rFonts w:ascii="Times New Roman" w:hAnsi="Times New Roman" w:cs="Times New Roman"/>
          <w:i/>
          <w:iCs/>
          <w:sz w:val="24"/>
          <w:szCs w:val="24"/>
        </w:rPr>
        <w:t xml:space="preserve">Kaip tęsė mokslą </w:t>
      </w:r>
      <w:r w:rsidR="009F1FBC" w:rsidRPr="00625CDF">
        <w:rPr>
          <w:rFonts w:ascii="Times New Roman" w:hAnsi="Times New Roman" w:cs="Times New Roman"/>
          <w:i/>
          <w:iCs/>
          <w:sz w:val="24"/>
          <w:szCs w:val="24"/>
        </w:rPr>
        <w:t>S</w:t>
      </w:r>
      <w:r w:rsidRPr="00625CDF">
        <w:rPr>
          <w:rFonts w:ascii="Times New Roman" w:hAnsi="Times New Roman" w:cs="Times New Roman"/>
          <w:i/>
          <w:iCs/>
          <w:sz w:val="24"/>
          <w:szCs w:val="24"/>
        </w:rPr>
        <w:t>avivaldybės bendrosiose mokyklose pagrindinio ugdymo programą baigę specialiųjų ugdymo(</w:t>
      </w:r>
      <w:proofErr w:type="spellStart"/>
      <w:r w:rsidRPr="00625CDF">
        <w:rPr>
          <w:rFonts w:ascii="Times New Roman" w:hAnsi="Times New Roman" w:cs="Times New Roman"/>
          <w:i/>
          <w:iCs/>
          <w:sz w:val="24"/>
          <w:szCs w:val="24"/>
        </w:rPr>
        <w:t>si</w:t>
      </w:r>
      <w:proofErr w:type="spellEnd"/>
      <w:r w:rsidRPr="00625CDF">
        <w:rPr>
          <w:rFonts w:ascii="Times New Roman" w:hAnsi="Times New Roman" w:cs="Times New Roman"/>
          <w:i/>
          <w:iCs/>
          <w:sz w:val="24"/>
          <w:szCs w:val="24"/>
        </w:rPr>
        <w:t>) poreikių turintys mokiniai</w:t>
      </w:r>
      <w:r w:rsidR="00AE2997" w:rsidRPr="00625CDF">
        <w:rPr>
          <w:rFonts w:ascii="Times New Roman" w:hAnsi="Times New Roman" w:cs="Times New Roman"/>
          <w:i/>
          <w:iCs/>
          <w:sz w:val="24"/>
          <w:szCs w:val="24"/>
        </w:rPr>
        <w:t>:</w:t>
      </w:r>
    </w:p>
    <w:tbl>
      <w:tblPr>
        <w:tblW w:w="9498" w:type="dxa"/>
        <w:tblLayout w:type="fixed"/>
        <w:tblLook w:val="04A0" w:firstRow="1" w:lastRow="0" w:firstColumn="1" w:lastColumn="0" w:noHBand="0" w:noVBand="1"/>
      </w:tblPr>
      <w:tblGrid>
        <w:gridCol w:w="2410"/>
        <w:gridCol w:w="2977"/>
        <w:gridCol w:w="2551"/>
        <w:gridCol w:w="1560"/>
      </w:tblGrid>
      <w:tr w:rsidR="00581BC4" w:rsidRPr="00581BC4" w14:paraId="59E27B38" w14:textId="77777777" w:rsidTr="00D42386">
        <w:trPr>
          <w:trHeight w:val="769"/>
        </w:trPr>
        <w:tc>
          <w:tcPr>
            <w:tcW w:w="2410" w:type="dxa"/>
            <w:tcBorders>
              <w:top w:val="nil"/>
              <w:left w:val="nil"/>
              <w:bottom w:val="single" w:sz="4" w:space="0" w:color="95B3D7"/>
              <w:right w:val="nil"/>
            </w:tcBorders>
            <w:shd w:val="clear" w:color="DCE6F1" w:fill="DCE6F1"/>
            <w:noWrap/>
            <w:hideMark/>
          </w:tcPr>
          <w:p w14:paraId="59E27B34"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Mokslo metai / spec. poreikio lygio grupė</w:t>
            </w:r>
          </w:p>
        </w:tc>
        <w:tc>
          <w:tcPr>
            <w:tcW w:w="2977" w:type="dxa"/>
            <w:tcBorders>
              <w:top w:val="nil"/>
              <w:left w:val="nil"/>
              <w:bottom w:val="single" w:sz="4" w:space="0" w:color="95B3D7"/>
              <w:right w:val="nil"/>
            </w:tcBorders>
            <w:shd w:val="clear" w:color="DCE6F1" w:fill="DCE6F1"/>
            <w:hideMark/>
          </w:tcPr>
          <w:p w14:paraId="59E27B35"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bendrojo ugdymo mokykloje</w:t>
            </w:r>
          </w:p>
        </w:tc>
        <w:tc>
          <w:tcPr>
            <w:tcW w:w="2551" w:type="dxa"/>
            <w:tcBorders>
              <w:top w:val="nil"/>
              <w:left w:val="nil"/>
              <w:bottom w:val="single" w:sz="4" w:space="0" w:color="95B3D7"/>
              <w:right w:val="nil"/>
            </w:tcBorders>
            <w:shd w:val="clear" w:color="DCE6F1" w:fill="DCE6F1"/>
            <w:hideMark/>
          </w:tcPr>
          <w:p w14:paraId="59E27B36"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profesinėje mokykloje</w:t>
            </w:r>
          </w:p>
        </w:tc>
        <w:tc>
          <w:tcPr>
            <w:tcW w:w="1560" w:type="dxa"/>
            <w:tcBorders>
              <w:top w:val="nil"/>
              <w:left w:val="nil"/>
              <w:bottom w:val="single" w:sz="4" w:space="0" w:color="95B3D7"/>
              <w:right w:val="nil"/>
            </w:tcBorders>
            <w:shd w:val="clear" w:color="DCE6F1" w:fill="DCE6F1"/>
          </w:tcPr>
          <w:p w14:paraId="59E27B37"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Kita veikla</w:t>
            </w:r>
          </w:p>
        </w:tc>
      </w:tr>
      <w:tr w:rsidR="00581BC4" w:rsidRPr="00581BC4" w14:paraId="59E27B3D" w14:textId="77777777" w:rsidTr="00D42386">
        <w:trPr>
          <w:trHeight w:val="255"/>
        </w:trPr>
        <w:tc>
          <w:tcPr>
            <w:tcW w:w="2410" w:type="dxa"/>
            <w:tcBorders>
              <w:top w:val="nil"/>
              <w:left w:val="nil"/>
              <w:bottom w:val="single" w:sz="4" w:space="0" w:color="95B3D7"/>
              <w:right w:val="nil"/>
            </w:tcBorders>
            <w:shd w:val="clear" w:color="auto" w:fill="auto"/>
            <w:noWrap/>
            <w:vAlign w:val="bottom"/>
            <w:hideMark/>
          </w:tcPr>
          <w:p w14:paraId="59E27B39"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2018-2019</w:t>
            </w:r>
          </w:p>
        </w:tc>
        <w:tc>
          <w:tcPr>
            <w:tcW w:w="2977" w:type="dxa"/>
            <w:tcBorders>
              <w:top w:val="nil"/>
              <w:left w:val="nil"/>
              <w:bottom w:val="single" w:sz="4" w:space="0" w:color="95B3D7"/>
              <w:right w:val="nil"/>
            </w:tcBorders>
            <w:shd w:val="clear" w:color="auto" w:fill="auto"/>
            <w:noWrap/>
            <w:vAlign w:val="bottom"/>
            <w:hideMark/>
          </w:tcPr>
          <w:p w14:paraId="59E27B3A" w14:textId="77777777" w:rsidR="00581BC4" w:rsidRPr="00581BC4" w:rsidRDefault="00581BC4" w:rsidP="00581BC4">
            <w:pPr>
              <w:spacing w:after="0" w:line="240" w:lineRule="auto"/>
              <w:rPr>
                <w:rFonts w:ascii="Times New Roman" w:eastAsia="Times New Roman" w:hAnsi="Times New Roman" w:cs="Times New Roman"/>
                <w:sz w:val="24"/>
                <w:szCs w:val="24"/>
                <w:lang w:eastAsia="lt-LT"/>
              </w:rPr>
            </w:pPr>
          </w:p>
        </w:tc>
        <w:tc>
          <w:tcPr>
            <w:tcW w:w="2551" w:type="dxa"/>
            <w:tcBorders>
              <w:top w:val="nil"/>
              <w:left w:val="nil"/>
              <w:bottom w:val="single" w:sz="4" w:space="0" w:color="95B3D7"/>
              <w:right w:val="nil"/>
            </w:tcBorders>
            <w:shd w:val="clear" w:color="auto" w:fill="auto"/>
            <w:noWrap/>
            <w:vAlign w:val="bottom"/>
            <w:hideMark/>
          </w:tcPr>
          <w:p w14:paraId="59E27B3B" w14:textId="77777777" w:rsidR="00581BC4" w:rsidRPr="00581BC4" w:rsidRDefault="00581BC4" w:rsidP="00581BC4">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4" w:space="0" w:color="95B3D7"/>
              <w:right w:val="nil"/>
            </w:tcBorders>
            <w:vAlign w:val="bottom"/>
          </w:tcPr>
          <w:p w14:paraId="59E27B3C"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p>
        </w:tc>
      </w:tr>
      <w:tr w:rsidR="00581BC4" w:rsidRPr="00581BC4" w14:paraId="59E27B42" w14:textId="77777777" w:rsidTr="00D42386">
        <w:trPr>
          <w:trHeight w:val="255"/>
        </w:trPr>
        <w:tc>
          <w:tcPr>
            <w:tcW w:w="2410" w:type="dxa"/>
            <w:tcBorders>
              <w:top w:val="nil"/>
              <w:left w:val="nil"/>
              <w:bottom w:val="nil"/>
              <w:right w:val="nil"/>
            </w:tcBorders>
            <w:shd w:val="clear" w:color="auto" w:fill="auto"/>
            <w:noWrap/>
            <w:vAlign w:val="bottom"/>
            <w:hideMark/>
          </w:tcPr>
          <w:p w14:paraId="59E27B3E"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I - nedideli</w:t>
            </w:r>
          </w:p>
        </w:tc>
        <w:tc>
          <w:tcPr>
            <w:tcW w:w="2977" w:type="dxa"/>
            <w:tcBorders>
              <w:top w:val="nil"/>
              <w:left w:val="nil"/>
              <w:bottom w:val="nil"/>
              <w:right w:val="nil"/>
            </w:tcBorders>
            <w:shd w:val="clear" w:color="auto" w:fill="auto"/>
            <w:noWrap/>
            <w:vAlign w:val="bottom"/>
            <w:hideMark/>
          </w:tcPr>
          <w:p w14:paraId="59E27B3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2551" w:type="dxa"/>
            <w:tcBorders>
              <w:top w:val="nil"/>
              <w:left w:val="nil"/>
              <w:bottom w:val="nil"/>
              <w:right w:val="nil"/>
            </w:tcBorders>
            <w:shd w:val="clear" w:color="auto" w:fill="auto"/>
            <w:noWrap/>
            <w:vAlign w:val="bottom"/>
            <w:hideMark/>
          </w:tcPr>
          <w:p w14:paraId="59E27B4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1560" w:type="dxa"/>
            <w:tcBorders>
              <w:top w:val="nil"/>
              <w:left w:val="nil"/>
              <w:bottom w:val="nil"/>
              <w:right w:val="nil"/>
            </w:tcBorders>
            <w:vAlign w:val="bottom"/>
          </w:tcPr>
          <w:p w14:paraId="59E27B41"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p>
        </w:tc>
      </w:tr>
      <w:tr w:rsidR="00581BC4" w:rsidRPr="00581BC4" w14:paraId="59E27B47" w14:textId="77777777" w:rsidTr="00D42386">
        <w:trPr>
          <w:trHeight w:val="255"/>
        </w:trPr>
        <w:tc>
          <w:tcPr>
            <w:tcW w:w="2410" w:type="dxa"/>
            <w:tcBorders>
              <w:top w:val="nil"/>
              <w:left w:val="nil"/>
              <w:bottom w:val="nil"/>
              <w:right w:val="nil"/>
            </w:tcBorders>
            <w:shd w:val="clear" w:color="auto" w:fill="auto"/>
            <w:noWrap/>
            <w:vAlign w:val="bottom"/>
            <w:hideMark/>
          </w:tcPr>
          <w:p w14:paraId="59E27B43"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lastRenderedPageBreak/>
              <w:t>II - vidutiniai</w:t>
            </w:r>
          </w:p>
        </w:tc>
        <w:tc>
          <w:tcPr>
            <w:tcW w:w="2977" w:type="dxa"/>
            <w:tcBorders>
              <w:top w:val="nil"/>
              <w:left w:val="nil"/>
              <w:bottom w:val="nil"/>
              <w:right w:val="nil"/>
            </w:tcBorders>
            <w:shd w:val="clear" w:color="auto" w:fill="auto"/>
            <w:noWrap/>
            <w:vAlign w:val="bottom"/>
            <w:hideMark/>
          </w:tcPr>
          <w:p w14:paraId="59E27B4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2551" w:type="dxa"/>
            <w:tcBorders>
              <w:top w:val="nil"/>
              <w:left w:val="nil"/>
              <w:bottom w:val="nil"/>
              <w:right w:val="nil"/>
            </w:tcBorders>
            <w:shd w:val="clear" w:color="auto" w:fill="auto"/>
            <w:noWrap/>
            <w:vAlign w:val="bottom"/>
            <w:hideMark/>
          </w:tcPr>
          <w:p w14:paraId="59E27B4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w:t>
            </w:r>
          </w:p>
        </w:tc>
        <w:tc>
          <w:tcPr>
            <w:tcW w:w="1560" w:type="dxa"/>
            <w:tcBorders>
              <w:top w:val="nil"/>
              <w:left w:val="nil"/>
              <w:bottom w:val="nil"/>
              <w:right w:val="nil"/>
            </w:tcBorders>
            <w:vAlign w:val="bottom"/>
          </w:tcPr>
          <w:p w14:paraId="59E27B46"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p>
        </w:tc>
      </w:tr>
      <w:tr w:rsidR="00581BC4" w:rsidRPr="00581BC4" w14:paraId="59E27B4C" w14:textId="77777777" w:rsidTr="00D42386">
        <w:trPr>
          <w:trHeight w:val="255"/>
        </w:trPr>
        <w:tc>
          <w:tcPr>
            <w:tcW w:w="2410" w:type="dxa"/>
            <w:tcBorders>
              <w:top w:val="nil"/>
              <w:left w:val="nil"/>
              <w:bottom w:val="single" w:sz="4" w:space="0" w:color="95B3D7"/>
              <w:right w:val="nil"/>
            </w:tcBorders>
            <w:shd w:val="clear" w:color="auto" w:fill="auto"/>
            <w:noWrap/>
            <w:vAlign w:val="bottom"/>
            <w:hideMark/>
          </w:tcPr>
          <w:p w14:paraId="59E27B48"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2019-2020</w:t>
            </w:r>
          </w:p>
        </w:tc>
        <w:tc>
          <w:tcPr>
            <w:tcW w:w="2977" w:type="dxa"/>
            <w:tcBorders>
              <w:top w:val="nil"/>
              <w:left w:val="nil"/>
              <w:bottom w:val="single" w:sz="4" w:space="0" w:color="95B3D7"/>
              <w:right w:val="nil"/>
            </w:tcBorders>
            <w:shd w:val="clear" w:color="auto" w:fill="auto"/>
            <w:noWrap/>
            <w:vAlign w:val="bottom"/>
            <w:hideMark/>
          </w:tcPr>
          <w:p w14:paraId="59E27B49"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2551" w:type="dxa"/>
            <w:tcBorders>
              <w:top w:val="nil"/>
              <w:left w:val="nil"/>
              <w:bottom w:val="single" w:sz="4" w:space="0" w:color="95B3D7"/>
              <w:right w:val="nil"/>
            </w:tcBorders>
            <w:shd w:val="clear" w:color="auto" w:fill="auto"/>
            <w:noWrap/>
            <w:vAlign w:val="bottom"/>
            <w:hideMark/>
          </w:tcPr>
          <w:p w14:paraId="59E27B4A"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1560" w:type="dxa"/>
            <w:tcBorders>
              <w:top w:val="nil"/>
              <w:left w:val="nil"/>
              <w:bottom w:val="single" w:sz="4" w:space="0" w:color="95B3D7"/>
              <w:right w:val="nil"/>
            </w:tcBorders>
            <w:vAlign w:val="bottom"/>
          </w:tcPr>
          <w:p w14:paraId="59E27B4B"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p>
        </w:tc>
      </w:tr>
      <w:tr w:rsidR="00581BC4" w:rsidRPr="00581BC4" w14:paraId="59E27B51" w14:textId="77777777" w:rsidTr="00D42386">
        <w:trPr>
          <w:trHeight w:val="255"/>
        </w:trPr>
        <w:tc>
          <w:tcPr>
            <w:tcW w:w="2410" w:type="dxa"/>
            <w:tcBorders>
              <w:top w:val="nil"/>
              <w:left w:val="nil"/>
              <w:bottom w:val="nil"/>
              <w:right w:val="nil"/>
            </w:tcBorders>
            <w:shd w:val="clear" w:color="auto" w:fill="auto"/>
            <w:noWrap/>
            <w:vAlign w:val="bottom"/>
            <w:hideMark/>
          </w:tcPr>
          <w:p w14:paraId="59E27B4D"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I - nedideli</w:t>
            </w:r>
          </w:p>
        </w:tc>
        <w:tc>
          <w:tcPr>
            <w:tcW w:w="2977" w:type="dxa"/>
            <w:tcBorders>
              <w:top w:val="nil"/>
              <w:left w:val="nil"/>
              <w:bottom w:val="nil"/>
              <w:right w:val="nil"/>
            </w:tcBorders>
            <w:shd w:val="clear" w:color="auto" w:fill="auto"/>
            <w:noWrap/>
            <w:vAlign w:val="bottom"/>
            <w:hideMark/>
          </w:tcPr>
          <w:p w14:paraId="59E27B4E"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2551" w:type="dxa"/>
            <w:tcBorders>
              <w:top w:val="nil"/>
              <w:left w:val="nil"/>
              <w:bottom w:val="nil"/>
              <w:right w:val="nil"/>
            </w:tcBorders>
            <w:shd w:val="clear" w:color="auto" w:fill="auto"/>
            <w:noWrap/>
            <w:vAlign w:val="bottom"/>
            <w:hideMark/>
          </w:tcPr>
          <w:p w14:paraId="59E27B4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1560" w:type="dxa"/>
            <w:tcBorders>
              <w:top w:val="nil"/>
              <w:left w:val="nil"/>
              <w:bottom w:val="nil"/>
              <w:right w:val="nil"/>
            </w:tcBorders>
            <w:vAlign w:val="bottom"/>
          </w:tcPr>
          <w:p w14:paraId="59E27B50"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p>
        </w:tc>
      </w:tr>
      <w:tr w:rsidR="00581BC4" w:rsidRPr="00581BC4" w14:paraId="59E27B56" w14:textId="77777777" w:rsidTr="00D42386">
        <w:trPr>
          <w:trHeight w:val="255"/>
        </w:trPr>
        <w:tc>
          <w:tcPr>
            <w:tcW w:w="2410" w:type="dxa"/>
            <w:tcBorders>
              <w:top w:val="nil"/>
              <w:left w:val="nil"/>
              <w:bottom w:val="nil"/>
              <w:right w:val="nil"/>
            </w:tcBorders>
            <w:shd w:val="clear" w:color="auto" w:fill="auto"/>
            <w:noWrap/>
            <w:vAlign w:val="bottom"/>
            <w:hideMark/>
          </w:tcPr>
          <w:p w14:paraId="59E27B52"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II - vidutiniai</w:t>
            </w:r>
          </w:p>
        </w:tc>
        <w:tc>
          <w:tcPr>
            <w:tcW w:w="2977" w:type="dxa"/>
            <w:tcBorders>
              <w:top w:val="nil"/>
              <w:left w:val="nil"/>
              <w:bottom w:val="nil"/>
              <w:right w:val="nil"/>
            </w:tcBorders>
            <w:shd w:val="clear" w:color="auto" w:fill="auto"/>
            <w:noWrap/>
            <w:vAlign w:val="bottom"/>
            <w:hideMark/>
          </w:tcPr>
          <w:p w14:paraId="59E27B5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c>
          <w:tcPr>
            <w:tcW w:w="2551" w:type="dxa"/>
            <w:tcBorders>
              <w:top w:val="nil"/>
              <w:left w:val="nil"/>
              <w:bottom w:val="nil"/>
              <w:right w:val="nil"/>
            </w:tcBorders>
            <w:shd w:val="clear" w:color="auto" w:fill="auto"/>
            <w:noWrap/>
            <w:vAlign w:val="bottom"/>
            <w:hideMark/>
          </w:tcPr>
          <w:p w14:paraId="59E27B5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1560" w:type="dxa"/>
            <w:tcBorders>
              <w:top w:val="nil"/>
              <w:left w:val="nil"/>
              <w:bottom w:val="nil"/>
              <w:right w:val="nil"/>
            </w:tcBorders>
            <w:vAlign w:val="bottom"/>
          </w:tcPr>
          <w:p w14:paraId="59E27B55"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p>
        </w:tc>
      </w:tr>
      <w:tr w:rsidR="00581BC4" w:rsidRPr="00581BC4" w14:paraId="59E27B5B" w14:textId="77777777" w:rsidTr="00D42386">
        <w:trPr>
          <w:trHeight w:val="255"/>
        </w:trPr>
        <w:tc>
          <w:tcPr>
            <w:tcW w:w="2410" w:type="dxa"/>
            <w:tcBorders>
              <w:top w:val="nil"/>
              <w:left w:val="nil"/>
              <w:bottom w:val="nil"/>
              <w:right w:val="nil"/>
            </w:tcBorders>
            <w:shd w:val="clear" w:color="auto" w:fill="auto"/>
            <w:noWrap/>
            <w:vAlign w:val="bottom"/>
            <w:hideMark/>
          </w:tcPr>
          <w:p w14:paraId="59E27B57"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III - dideli</w:t>
            </w:r>
          </w:p>
        </w:tc>
        <w:tc>
          <w:tcPr>
            <w:tcW w:w="2977" w:type="dxa"/>
            <w:tcBorders>
              <w:top w:val="nil"/>
              <w:left w:val="nil"/>
              <w:bottom w:val="nil"/>
              <w:right w:val="nil"/>
            </w:tcBorders>
            <w:shd w:val="clear" w:color="auto" w:fill="auto"/>
            <w:noWrap/>
            <w:vAlign w:val="bottom"/>
            <w:hideMark/>
          </w:tcPr>
          <w:p w14:paraId="59E27B58"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2551" w:type="dxa"/>
            <w:tcBorders>
              <w:top w:val="nil"/>
              <w:left w:val="nil"/>
              <w:bottom w:val="nil"/>
              <w:right w:val="nil"/>
            </w:tcBorders>
            <w:shd w:val="clear" w:color="auto" w:fill="auto"/>
            <w:noWrap/>
            <w:vAlign w:val="bottom"/>
            <w:hideMark/>
          </w:tcPr>
          <w:p w14:paraId="59E27B5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560" w:type="dxa"/>
            <w:tcBorders>
              <w:top w:val="nil"/>
              <w:left w:val="nil"/>
              <w:bottom w:val="nil"/>
              <w:right w:val="nil"/>
            </w:tcBorders>
            <w:vAlign w:val="bottom"/>
          </w:tcPr>
          <w:p w14:paraId="59E27B5A"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p>
        </w:tc>
      </w:tr>
      <w:tr w:rsidR="00581BC4" w:rsidRPr="00581BC4" w14:paraId="59E27B60" w14:textId="77777777" w:rsidTr="00D42386">
        <w:trPr>
          <w:trHeight w:val="255"/>
        </w:trPr>
        <w:tc>
          <w:tcPr>
            <w:tcW w:w="2410" w:type="dxa"/>
            <w:tcBorders>
              <w:top w:val="nil"/>
              <w:left w:val="nil"/>
              <w:bottom w:val="single" w:sz="4" w:space="0" w:color="95B3D7"/>
              <w:right w:val="nil"/>
            </w:tcBorders>
            <w:shd w:val="clear" w:color="auto" w:fill="auto"/>
            <w:noWrap/>
            <w:vAlign w:val="bottom"/>
            <w:hideMark/>
          </w:tcPr>
          <w:p w14:paraId="59E27B5C"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2020-2021</w:t>
            </w:r>
          </w:p>
        </w:tc>
        <w:tc>
          <w:tcPr>
            <w:tcW w:w="2977" w:type="dxa"/>
            <w:tcBorders>
              <w:top w:val="nil"/>
              <w:left w:val="nil"/>
              <w:bottom w:val="single" w:sz="4" w:space="0" w:color="95B3D7"/>
              <w:right w:val="nil"/>
            </w:tcBorders>
            <w:shd w:val="clear" w:color="auto" w:fill="auto"/>
            <w:noWrap/>
            <w:vAlign w:val="bottom"/>
            <w:hideMark/>
          </w:tcPr>
          <w:p w14:paraId="59E27B5D"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2551" w:type="dxa"/>
            <w:tcBorders>
              <w:top w:val="nil"/>
              <w:left w:val="nil"/>
              <w:bottom w:val="single" w:sz="4" w:space="0" w:color="95B3D7"/>
              <w:right w:val="nil"/>
            </w:tcBorders>
            <w:shd w:val="clear" w:color="auto" w:fill="auto"/>
            <w:noWrap/>
            <w:vAlign w:val="bottom"/>
            <w:hideMark/>
          </w:tcPr>
          <w:p w14:paraId="59E27B5E"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1560" w:type="dxa"/>
            <w:tcBorders>
              <w:top w:val="nil"/>
              <w:left w:val="nil"/>
              <w:bottom w:val="single" w:sz="4" w:space="0" w:color="95B3D7"/>
              <w:right w:val="nil"/>
            </w:tcBorders>
            <w:vAlign w:val="bottom"/>
          </w:tcPr>
          <w:p w14:paraId="59E27B5F"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p>
        </w:tc>
      </w:tr>
      <w:tr w:rsidR="00581BC4" w:rsidRPr="00581BC4" w14:paraId="59E27B65" w14:textId="77777777" w:rsidTr="00D42386">
        <w:trPr>
          <w:trHeight w:val="255"/>
        </w:trPr>
        <w:tc>
          <w:tcPr>
            <w:tcW w:w="2410" w:type="dxa"/>
            <w:tcBorders>
              <w:top w:val="nil"/>
              <w:left w:val="nil"/>
              <w:bottom w:val="nil"/>
              <w:right w:val="nil"/>
            </w:tcBorders>
            <w:shd w:val="clear" w:color="auto" w:fill="auto"/>
            <w:noWrap/>
            <w:vAlign w:val="bottom"/>
            <w:hideMark/>
          </w:tcPr>
          <w:p w14:paraId="59E27B61"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II - vidutiniai</w:t>
            </w:r>
          </w:p>
        </w:tc>
        <w:tc>
          <w:tcPr>
            <w:tcW w:w="2977" w:type="dxa"/>
            <w:tcBorders>
              <w:top w:val="nil"/>
              <w:left w:val="nil"/>
              <w:bottom w:val="nil"/>
              <w:right w:val="nil"/>
            </w:tcBorders>
            <w:shd w:val="clear" w:color="auto" w:fill="auto"/>
            <w:noWrap/>
            <w:vAlign w:val="bottom"/>
            <w:hideMark/>
          </w:tcPr>
          <w:p w14:paraId="59E27B6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2551" w:type="dxa"/>
            <w:tcBorders>
              <w:top w:val="nil"/>
              <w:left w:val="nil"/>
              <w:bottom w:val="nil"/>
              <w:right w:val="nil"/>
            </w:tcBorders>
            <w:shd w:val="clear" w:color="auto" w:fill="auto"/>
            <w:noWrap/>
            <w:vAlign w:val="bottom"/>
            <w:hideMark/>
          </w:tcPr>
          <w:p w14:paraId="59E27B6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c>
          <w:tcPr>
            <w:tcW w:w="1560" w:type="dxa"/>
            <w:tcBorders>
              <w:top w:val="nil"/>
              <w:left w:val="nil"/>
              <w:bottom w:val="nil"/>
              <w:right w:val="nil"/>
            </w:tcBorders>
            <w:vAlign w:val="bottom"/>
          </w:tcPr>
          <w:p w14:paraId="59E27B6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r>
      <w:tr w:rsidR="00581BC4" w:rsidRPr="00581BC4" w14:paraId="59E27B6A" w14:textId="77777777" w:rsidTr="00D42386">
        <w:trPr>
          <w:trHeight w:val="255"/>
        </w:trPr>
        <w:tc>
          <w:tcPr>
            <w:tcW w:w="2410" w:type="dxa"/>
            <w:tcBorders>
              <w:top w:val="nil"/>
              <w:left w:val="nil"/>
              <w:bottom w:val="nil"/>
              <w:right w:val="nil"/>
            </w:tcBorders>
            <w:shd w:val="clear" w:color="auto" w:fill="auto"/>
            <w:noWrap/>
            <w:vAlign w:val="bottom"/>
            <w:hideMark/>
          </w:tcPr>
          <w:p w14:paraId="59E27B66"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III - dideli</w:t>
            </w:r>
          </w:p>
        </w:tc>
        <w:tc>
          <w:tcPr>
            <w:tcW w:w="2977" w:type="dxa"/>
            <w:tcBorders>
              <w:top w:val="nil"/>
              <w:left w:val="nil"/>
              <w:bottom w:val="nil"/>
              <w:right w:val="nil"/>
            </w:tcBorders>
            <w:shd w:val="clear" w:color="auto" w:fill="auto"/>
            <w:noWrap/>
            <w:vAlign w:val="bottom"/>
            <w:hideMark/>
          </w:tcPr>
          <w:p w14:paraId="59E27B6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2551" w:type="dxa"/>
            <w:tcBorders>
              <w:top w:val="nil"/>
              <w:left w:val="nil"/>
              <w:bottom w:val="nil"/>
              <w:right w:val="nil"/>
            </w:tcBorders>
            <w:shd w:val="clear" w:color="auto" w:fill="auto"/>
            <w:noWrap/>
            <w:vAlign w:val="bottom"/>
            <w:hideMark/>
          </w:tcPr>
          <w:p w14:paraId="59E27B6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560" w:type="dxa"/>
            <w:tcBorders>
              <w:top w:val="nil"/>
              <w:left w:val="nil"/>
              <w:bottom w:val="nil"/>
              <w:right w:val="nil"/>
            </w:tcBorders>
            <w:vAlign w:val="bottom"/>
          </w:tcPr>
          <w:p w14:paraId="59E27B69" w14:textId="77777777" w:rsidR="00581BC4" w:rsidRPr="00581BC4" w:rsidRDefault="00581BC4" w:rsidP="00581BC4">
            <w:pPr>
              <w:spacing w:after="0" w:line="240" w:lineRule="auto"/>
              <w:ind w:firstLineChars="100" w:firstLine="240"/>
              <w:rPr>
                <w:rFonts w:ascii="Times New Roman" w:eastAsia="Times New Roman" w:hAnsi="Times New Roman" w:cs="Times New Roman"/>
                <w:color w:val="000000"/>
                <w:sz w:val="24"/>
                <w:szCs w:val="24"/>
                <w:lang w:eastAsia="lt-LT"/>
              </w:rPr>
            </w:pPr>
          </w:p>
        </w:tc>
      </w:tr>
    </w:tbl>
    <w:p w14:paraId="59E27B6B" w14:textId="77777777" w:rsidR="00AE2997" w:rsidRDefault="00AE2997" w:rsidP="00AE2997">
      <w:pPr>
        <w:spacing w:after="0" w:line="240" w:lineRule="auto"/>
        <w:jc w:val="both"/>
        <w:rPr>
          <w:rFonts w:ascii="Times New Roman" w:hAnsi="Times New Roman" w:cs="Times New Roman"/>
          <w:i/>
          <w:sz w:val="24"/>
          <w:szCs w:val="24"/>
        </w:rPr>
      </w:pPr>
    </w:p>
    <w:p w14:paraId="59E27B6C" w14:textId="77777777" w:rsidR="00581BC4" w:rsidRPr="00581BC4" w:rsidRDefault="00581BC4" w:rsidP="00AE2997">
      <w:pPr>
        <w:spacing w:after="0" w:line="240" w:lineRule="auto"/>
        <w:jc w:val="both"/>
        <w:rPr>
          <w:rFonts w:ascii="Times New Roman" w:hAnsi="Times New Roman" w:cs="Times New Roman"/>
          <w:iCs/>
          <w:sz w:val="24"/>
          <w:szCs w:val="24"/>
        </w:rPr>
      </w:pPr>
      <w:r w:rsidRPr="00581BC4">
        <w:rPr>
          <w:rFonts w:ascii="Times New Roman" w:hAnsi="Times New Roman" w:cs="Times New Roman"/>
          <w:iCs/>
          <w:sz w:val="24"/>
          <w:szCs w:val="24"/>
        </w:rPr>
        <w:t>Beveik visi specialiųjų poreikių turintys mokiniai, integruotai mokęsi bendrosiose mokyklose, po 10 klasės toliau mokosi. Didesnioji dalis – profesinio mokymo įstaigose.</w:t>
      </w:r>
    </w:p>
    <w:p w14:paraId="59E27B6D" w14:textId="77777777" w:rsidR="00581BC4" w:rsidRPr="00581BC4" w:rsidRDefault="00581BC4" w:rsidP="00AE2997">
      <w:pPr>
        <w:spacing w:after="0" w:line="240" w:lineRule="auto"/>
        <w:jc w:val="center"/>
        <w:rPr>
          <w:rFonts w:ascii="Times New Roman" w:hAnsi="Times New Roman" w:cs="Times New Roman"/>
          <w:b/>
          <w:sz w:val="24"/>
          <w:szCs w:val="24"/>
        </w:rPr>
      </w:pPr>
    </w:p>
    <w:p w14:paraId="59E27B6E" w14:textId="77777777" w:rsidR="00581BC4" w:rsidRPr="00625CDF" w:rsidRDefault="00581BC4" w:rsidP="00D42386">
      <w:pPr>
        <w:spacing w:after="0" w:line="240" w:lineRule="auto"/>
        <w:rPr>
          <w:rFonts w:ascii="Times New Roman" w:hAnsi="Times New Roman" w:cs="Times New Roman"/>
          <w:sz w:val="24"/>
          <w:szCs w:val="24"/>
        </w:rPr>
      </w:pPr>
      <w:r w:rsidRPr="00625CDF">
        <w:rPr>
          <w:rFonts w:ascii="Times New Roman" w:hAnsi="Times New Roman" w:cs="Times New Roman"/>
          <w:bCs/>
          <w:i/>
          <w:iCs/>
          <w:sz w:val="24"/>
          <w:szCs w:val="24"/>
        </w:rPr>
        <w:t>Kaip tęsė mokslą pagrindinio ugdymo programą 2019 m. baigę savivaldybės mokyklų</w:t>
      </w:r>
      <w:r w:rsidR="00D42386" w:rsidRPr="00625CDF">
        <w:rPr>
          <w:rFonts w:ascii="Times New Roman" w:hAnsi="Times New Roman" w:cs="Times New Roman"/>
          <w:bCs/>
          <w:i/>
          <w:iCs/>
          <w:sz w:val="24"/>
          <w:szCs w:val="24"/>
        </w:rPr>
        <w:t xml:space="preserve"> </w:t>
      </w:r>
      <w:r w:rsidRPr="00625CDF">
        <w:rPr>
          <w:rFonts w:ascii="Times New Roman" w:hAnsi="Times New Roman" w:cs="Times New Roman"/>
          <w:bCs/>
          <w:i/>
          <w:iCs/>
          <w:sz w:val="24"/>
          <w:szCs w:val="24"/>
        </w:rPr>
        <w:t>mokiniai</w:t>
      </w:r>
      <w:r w:rsidR="00D42386" w:rsidRPr="00625CDF">
        <w:rPr>
          <w:rFonts w:ascii="Times New Roman" w:hAnsi="Times New Roman" w:cs="Times New Roman"/>
          <w:bCs/>
          <w:i/>
          <w:iCs/>
          <w:sz w:val="24"/>
          <w:szCs w:val="24"/>
        </w:rPr>
        <w:t>:</w:t>
      </w:r>
    </w:p>
    <w:tbl>
      <w:tblPr>
        <w:tblW w:w="9639" w:type="dxa"/>
        <w:tblLook w:val="04A0" w:firstRow="1" w:lastRow="0" w:firstColumn="1" w:lastColumn="0" w:noHBand="0" w:noVBand="1"/>
      </w:tblPr>
      <w:tblGrid>
        <w:gridCol w:w="3828"/>
        <w:gridCol w:w="2126"/>
        <w:gridCol w:w="1984"/>
        <w:gridCol w:w="851"/>
        <w:gridCol w:w="850"/>
      </w:tblGrid>
      <w:tr w:rsidR="00581BC4" w:rsidRPr="00581BC4" w14:paraId="59E27B74" w14:textId="77777777" w:rsidTr="00D03DA7">
        <w:trPr>
          <w:trHeight w:val="1020"/>
        </w:trPr>
        <w:tc>
          <w:tcPr>
            <w:tcW w:w="3828" w:type="dxa"/>
            <w:tcBorders>
              <w:top w:val="nil"/>
              <w:left w:val="nil"/>
              <w:bottom w:val="single" w:sz="4" w:space="0" w:color="95B3D7"/>
              <w:right w:val="nil"/>
            </w:tcBorders>
            <w:shd w:val="clear" w:color="DCE6F1" w:fill="DCE6F1"/>
            <w:hideMark/>
          </w:tcPr>
          <w:p w14:paraId="59E27B6F"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Mokykla</w:t>
            </w:r>
          </w:p>
        </w:tc>
        <w:tc>
          <w:tcPr>
            <w:tcW w:w="2126" w:type="dxa"/>
            <w:tcBorders>
              <w:top w:val="nil"/>
              <w:left w:val="nil"/>
              <w:bottom w:val="single" w:sz="4" w:space="0" w:color="95B3D7"/>
              <w:right w:val="nil"/>
            </w:tcBorders>
            <w:shd w:val="clear" w:color="DCE6F1" w:fill="DCE6F1"/>
            <w:hideMark/>
          </w:tcPr>
          <w:p w14:paraId="59E27B70"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bendrojo ugdymo mokykloje</w:t>
            </w:r>
          </w:p>
        </w:tc>
        <w:tc>
          <w:tcPr>
            <w:tcW w:w="1984" w:type="dxa"/>
            <w:tcBorders>
              <w:top w:val="nil"/>
              <w:left w:val="nil"/>
              <w:bottom w:val="single" w:sz="4" w:space="0" w:color="95B3D7"/>
              <w:right w:val="nil"/>
            </w:tcBorders>
            <w:shd w:val="clear" w:color="DCE6F1" w:fill="DCE6F1"/>
            <w:hideMark/>
          </w:tcPr>
          <w:p w14:paraId="59E27B71"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profesinėje mokykloje</w:t>
            </w:r>
          </w:p>
        </w:tc>
        <w:tc>
          <w:tcPr>
            <w:tcW w:w="851" w:type="dxa"/>
            <w:tcBorders>
              <w:top w:val="nil"/>
              <w:left w:val="nil"/>
              <w:bottom w:val="single" w:sz="4" w:space="0" w:color="95B3D7"/>
              <w:right w:val="nil"/>
            </w:tcBorders>
            <w:shd w:val="clear" w:color="DCE6F1" w:fill="DCE6F1"/>
            <w:hideMark/>
          </w:tcPr>
          <w:p w14:paraId="59E27B72"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Kita veikla</w:t>
            </w:r>
          </w:p>
        </w:tc>
        <w:tc>
          <w:tcPr>
            <w:tcW w:w="850" w:type="dxa"/>
            <w:tcBorders>
              <w:top w:val="nil"/>
              <w:left w:val="nil"/>
              <w:bottom w:val="single" w:sz="4" w:space="0" w:color="95B3D7"/>
              <w:right w:val="nil"/>
            </w:tcBorders>
            <w:shd w:val="clear" w:color="DCE6F1" w:fill="DCE6F1"/>
            <w:hideMark/>
          </w:tcPr>
          <w:p w14:paraId="59E27B73"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Iš viso</w:t>
            </w:r>
          </w:p>
        </w:tc>
      </w:tr>
      <w:tr w:rsidR="00581BC4" w:rsidRPr="00581BC4" w14:paraId="59E27B7A" w14:textId="77777777" w:rsidTr="00D03DA7">
        <w:trPr>
          <w:trHeight w:val="255"/>
        </w:trPr>
        <w:tc>
          <w:tcPr>
            <w:tcW w:w="3828" w:type="dxa"/>
            <w:tcBorders>
              <w:top w:val="nil"/>
              <w:left w:val="nil"/>
              <w:bottom w:val="nil"/>
              <w:right w:val="nil"/>
            </w:tcBorders>
            <w:shd w:val="clear" w:color="auto" w:fill="auto"/>
            <w:noWrap/>
            <w:vAlign w:val="bottom"/>
            <w:hideMark/>
          </w:tcPr>
          <w:p w14:paraId="59E27B75"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 Vilkaviškio „Aušros“ gimnazija</w:t>
            </w:r>
          </w:p>
        </w:tc>
        <w:tc>
          <w:tcPr>
            <w:tcW w:w="2126" w:type="dxa"/>
            <w:tcBorders>
              <w:top w:val="nil"/>
              <w:left w:val="nil"/>
              <w:bottom w:val="nil"/>
              <w:right w:val="nil"/>
            </w:tcBorders>
            <w:shd w:val="clear" w:color="auto" w:fill="auto"/>
            <w:noWrap/>
            <w:vAlign w:val="bottom"/>
            <w:hideMark/>
          </w:tcPr>
          <w:p w14:paraId="59E27B7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136</w:t>
            </w:r>
          </w:p>
        </w:tc>
        <w:tc>
          <w:tcPr>
            <w:tcW w:w="1984" w:type="dxa"/>
            <w:tcBorders>
              <w:top w:val="nil"/>
              <w:left w:val="nil"/>
              <w:bottom w:val="nil"/>
              <w:right w:val="nil"/>
            </w:tcBorders>
            <w:shd w:val="clear" w:color="auto" w:fill="auto"/>
            <w:noWrap/>
            <w:vAlign w:val="bottom"/>
            <w:hideMark/>
          </w:tcPr>
          <w:p w14:paraId="59E27B7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1" w:type="dxa"/>
            <w:tcBorders>
              <w:top w:val="nil"/>
              <w:left w:val="nil"/>
              <w:bottom w:val="nil"/>
              <w:right w:val="nil"/>
            </w:tcBorders>
            <w:shd w:val="clear" w:color="auto" w:fill="auto"/>
            <w:noWrap/>
            <w:vAlign w:val="bottom"/>
            <w:hideMark/>
          </w:tcPr>
          <w:p w14:paraId="59E27B7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24</w:t>
            </w:r>
          </w:p>
        </w:tc>
        <w:tc>
          <w:tcPr>
            <w:tcW w:w="850" w:type="dxa"/>
            <w:tcBorders>
              <w:top w:val="nil"/>
              <w:left w:val="nil"/>
              <w:bottom w:val="nil"/>
              <w:right w:val="nil"/>
            </w:tcBorders>
            <w:shd w:val="clear" w:color="auto" w:fill="auto"/>
            <w:noWrap/>
            <w:vAlign w:val="bottom"/>
            <w:hideMark/>
          </w:tcPr>
          <w:p w14:paraId="59E27B7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164</w:t>
            </w:r>
          </w:p>
        </w:tc>
      </w:tr>
      <w:tr w:rsidR="00581BC4" w:rsidRPr="00581BC4" w14:paraId="59E27B80" w14:textId="77777777" w:rsidTr="00D03DA7">
        <w:trPr>
          <w:trHeight w:val="255"/>
        </w:trPr>
        <w:tc>
          <w:tcPr>
            <w:tcW w:w="3828" w:type="dxa"/>
            <w:tcBorders>
              <w:top w:val="nil"/>
              <w:left w:val="nil"/>
              <w:bottom w:val="nil"/>
              <w:right w:val="nil"/>
            </w:tcBorders>
            <w:shd w:val="clear" w:color="auto" w:fill="auto"/>
            <w:noWrap/>
            <w:vAlign w:val="bottom"/>
            <w:hideMark/>
          </w:tcPr>
          <w:p w14:paraId="59E27B7B"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 Vilkaviškio r. Alvito mokykla-daugiafunkcis centras</w:t>
            </w:r>
          </w:p>
        </w:tc>
        <w:tc>
          <w:tcPr>
            <w:tcW w:w="2126" w:type="dxa"/>
            <w:tcBorders>
              <w:top w:val="nil"/>
              <w:left w:val="nil"/>
              <w:bottom w:val="nil"/>
              <w:right w:val="nil"/>
            </w:tcBorders>
            <w:shd w:val="clear" w:color="auto" w:fill="auto"/>
            <w:noWrap/>
            <w:vAlign w:val="bottom"/>
            <w:hideMark/>
          </w:tcPr>
          <w:p w14:paraId="59E27B7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1984" w:type="dxa"/>
            <w:tcBorders>
              <w:top w:val="nil"/>
              <w:left w:val="nil"/>
              <w:bottom w:val="nil"/>
              <w:right w:val="nil"/>
            </w:tcBorders>
            <w:shd w:val="clear" w:color="auto" w:fill="auto"/>
            <w:noWrap/>
            <w:vAlign w:val="bottom"/>
            <w:hideMark/>
          </w:tcPr>
          <w:p w14:paraId="59E27B7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c>
          <w:tcPr>
            <w:tcW w:w="851" w:type="dxa"/>
            <w:tcBorders>
              <w:top w:val="nil"/>
              <w:left w:val="nil"/>
              <w:bottom w:val="nil"/>
              <w:right w:val="nil"/>
            </w:tcBorders>
            <w:shd w:val="clear" w:color="auto" w:fill="auto"/>
            <w:noWrap/>
            <w:vAlign w:val="bottom"/>
            <w:hideMark/>
          </w:tcPr>
          <w:p w14:paraId="59E27B7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7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r>
      <w:tr w:rsidR="00581BC4" w:rsidRPr="00581BC4" w14:paraId="59E27B86" w14:textId="77777777" w:rsidTr="00D03DA7">
        <w:trPr>
          <w:trHeight w:val="255"/>
        </w:trPr>
        <w:tc>
          <w:tcPr>
            <w:tcW w:w="3828" w:type="dxa"/>
            <w:tcBorders>
              <w:top w:val="nil"/>
              <w:left w:val="nil"/>
              <w:bottom w:val="nil"/>
              <w:right w:val="nil"/>
            </w:tcBorders>
            <w:shd w:val="clear" w:color="auto" w:fill="auto"/>
            <w:noWrap/>
            <w:vAlign w:val="bottom"/>
            <w:hideMark/>
          </w:tcPr>
          <w:p w14:paraId="59E27B81"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 Vilkaviškio r. Bartninkų Jono Basanavičiaus mokykla-daugiafunkcis centras</w:t>
            </w:r>
          </w:p>
        </w:tc>
        <w:tc>
          <w:tcPr>
            <w:tcW w:w="2126" w:type="dxa"/>
            <w:tcBorders>
              <w:top w:val="nil"/>
              <w:left w:val="nil"/>
              <w:bottom w:val="nil"/>
              <w:right w:val="nil"/>
            </w:tcBorders>
            <w:shd w:val="clear" w:color="auto" w:fill="auto"/>
            <w:noWrap/>
            <w:vAlign w:val="bottom"/>
            <w:hideMark/>
          </w:tcPr>
          <w:p w14:paraId="59E27B8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11</w:t>
            </w:r>
          </w:p>
        </w:tc>
        <w:tc>
          <w:tcPr>
            <w:tcW w:w="1984" w:type="dxa"/>
            <w:tcBorders>
              <w:top w:val="nil"/>
              <w:left w:val="nil"/>
              <w:bottom w:val="nil"/>
              <w:right w:val="nil"/>
            </w:tcBorders>
            <w:shd w:val="clear" w:color="auto" w:fill="auto"/>
            <w:noWrap/>
            <w:vAlign w:val="bottom"/>
            <w:hideMark/>
          </w:tcPr>
          <w:p w14:paraId="59E27B8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851" w:type="dxa"/>
            <w:tcBorders>
              <w:top w:val="nil"/>
              <w:left w:val="nil"/>
              <w:bottom w:val="nil"/>
              <w:right w:val="nil"/>
            </w:tcBorders>
            <w:shd w:val="clear" w:color="auto" w:fill="auto"/>
            <w:noWrap/>
            <w:vAlign w:val="bottom"/>
            <w:hideMark/>
          </w:tcPr>
          <w:p w14:paraId="59E27B8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8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w:t>
            </w:r>
          </w:p>
        </w:tc>
      </w:tr>
      <w:tr w:rsidR="00581BC4" w:rsidRPr="00581BC4" w14:paraId="59E27B8C" w14:textId="77777777" w:rsidTr="00D03DA7">
        <w:trPr>
          <w:trHeight w:val="255"/>
        </w:trPr>
        <w:tc>
          <w:tcPr>
            <w:tcW w:w="3828" w:type="dxa"/>
            <w:tcBorders>
              <w:top w:val="nil"/>
              <w:left w:val="nil"/>
              <w:bottom w:val="nil"/>
              <w:right w:val="nil"/>
            </w:tcBorders>
            <w:shd w:val="clear" w:color="auto" w:fill="auto"/>
            <w:noWrap/>
            <w:vAlign w:val="bottom"/>
            <w:hideMark/>
          </w:tcPr>
          <w:p w14:paraId="59E27B87"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 Vilkaviškio r. Giedrių jaunimo ir suaugusiųjų mokykla</w:t>
            </w:r>
          </w:p>
        </w:tc>
        <w:tc>
          <w:tcPr>
            <w:tcW w:w="2126" w:type="dxa"/>
            <w:tcBorders>
              <w:top w:val="nil"/>
              <w:left w:val="nil"/>
              <w:bottom w:val="nil"/>
              <w:right w:val="nil"/>
            </w:tcBorders>
            <w:shd w:val="clear" w:color="auto" w:fill="auto"/>
            <w:noWrap/>
            <w:vAlign w:val="bottom"/>
            <w:hideMark/>
          </w:tcPr>
          <w:p w14:paraId="59E27B8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c>
          <w:tcPr>
            <w:tcW w:w="1984" w:type="dxa"/>
            <w:tcBorders>
              <w:top w:val="nil"/>
              <w:left w:val="nil"/>
              <w:bottom w:val="nil"/>
              <w:right w:val="nil"/>
            </w:tcBorders>
            <w:shd w:val="clear" w:color="auto" w:fill="auto"/>
            <w:noWrap/>
            <w:vAlign w:val="bottom"/>
            <w:hideMark/>
          </w:tcPr>
          <w:p w14:paraId="59E27B8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1" w:type="dxa"/>
            <w:tcBorders>
              <w:top w:val="nil"/>
              <w:left w:val="nil"/>
              <w:bottom w:val="nil"/>
              <w:right w:val="nil"/>
            </w:tcBorders>
            <w:shd w:val="clear" w:color="auto" w:fill="auto"/>
            <w:noWrap/>
            <w:vAlign w:val="bottom"/>
            <w:hideMark/>
          </w:tcPr>
          <w:p w14:paraId="59E27B8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850" w:type="dxa"/>
            <w:tcBorders>
              <w:top w:val="nil"/>
              <w:left w:val="nil"/>
              <w:bottom w:val="nil"/>
              <w:right w:val="nil"/>
            </w:tcBorders>
            <w:shd w:val="clear" w:color="auto" w:fill="auto"/>
            <w:noWrap/>
            <w:vAlign w:val="bottom"/>
            <w:hideMark/>
          </w:tcPr>
          <w:p w14:paraId="59E27B8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r>
      <w:tr w:rsidR="00581BC4" w:rsidRPr="00581BC4" w14:paraId="59E27B92" w14:textId="77777777" w:rsidTr="00D03DA7">
        <w:trPr>
          <w:trHeight w:val="255"/>
        </w:trPr>
        <w:tc>
          <w:tcPr>
            <w:tcW w:w="3828" w:type="dxa"/>
            <w:tcBorders>
              <w:top w:val="nil"/>
              <w:left w:val="nil"/>
              <w:bottom w:val="nil"/>
              <w:right w:val="nil"/>
            </w:tcBorders>
            <w:shd w:val="clear" w:color="auto" w:fill="auto"/>
            <w:noWrap/>
            <w:vAlign w:val="bottom"/>
            <w:hideMark/>
          </w:tcPr>
          <w:p w14:paraId="59E27B8D"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 Vilkaviškio r. Gižų Kazimiero Baršausko mokykla-daugiafunkcis centras</w:t>
            </w:r>
          </w:p>
        </w:tc>
        <w:tc>
          <w:tcPr>
            <w:tcW w:w="2126" w:type="dxa"/>
            <w:tcBorders>
              <w:top w:val="nil"/>
              <w:left w:val="nil"/>
              <w:bottom w:val="nil"/>
              <w:right w:val="nil"/>
            </w:tcBorders>
            <w:shd w:val="clear" w:color="auto" w:fill="auto"/>
            <w:noWrap/>
            <w:vAlign w:val="bottom"/>
            <w:hideMark/>
          </w:tcPr>
          <w:p w14:paraId="59E27B8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4" w:type="dxa"/>
            <w:tcBorders>
              <w:top w:val="nil"/>
              <w:left w:val="nil"/>
              <w:bottom w:val="nil"/>
              <w:right w:val="nil"/>
            </w:tcBorders>
            <w:shd w:val="clear" w:color="auto" w:fill="auto"/>
            <w:noWrap/>
            <w:vAlign w:val="bottom"/>
            <w:hideMark/>
          </w:tcPr>
          <w:p w14:paraId="59E27B8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1" w:type="dxa"/>
            <w:tcBorders>
              <w:top w:val="nil"/>
              <w:left w:val="nil"/>
              <w:bottom w:val="nil"/>
              <w:right w:val="nil"/>
            </w:tcBorders>
            <w:shd w:val="clear" w:color="auto" w:fill="auto"/>
            <w:noWrap/>
            <w:vAlign w:val="bottom"/>
            <w:hideMark/>
          </w:tcPr>
          <w:p w14:paraId="59E27B9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9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r>
      <w:tr w:rsidR="00581BC4" w:rsidRPr="00581BC4" w14:paraId="59E27B98" w14:textId="77777777" w:rsidTr="00D03DA7">
        <w:trPr>
          <w:trHeight w:val="255"/>
        </w:trPr>
        <w:tc>
          <w:tcPr>
            <w:tcW w:w="3828" w:type="dxa"/>
            <w:tcBorders>
              <w:top w:val="nil"/>
              <w:left w:val="nil"/>
              <w:bottom w:val="nil"/>
              <w:right w:val="nil"/>
            </w:tcBorders>
            <w:shd w:val="clear" w:color="auto" w:fill="auto"/>
            <w:noWrap/>
            <w:vAlign w:val="bottom"/>
            <w:hideMark/>
          </w:tcPr>
          <w:p w14:paraId="59E27B93"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 Vilkaviškio r. Gražiškių gimnazija</w:t>
            </w:r>
          </w:p>
        </w:tc>
        <w:tc>
          <w:tcPr>
            <w:tcW w:w="2126" w:type="dxa"/>
            <w:tcBorders>
              <w:top w:val="nil"/>
              <w:left w:val="nil"/>
              <w:bottom w:val="nil"/>
              <w:right w:val="nil"/>
            </w:tcBorders>
            <w:shd w:val="clear" w:color="auto" w:fill="auto"/>
            <w:noWrap/>
            <w:vAlign w:val="bottom"/>
            <w:hideMark/>
          </w:tcPr>
          <w:p w14:paraId="59E27B9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w:t>
            </w:r>
          </w:p>
        </w:tc>
        <w:tc>
          <w:tcPr>
            <w:tcW w:w="1984" w:type="dxa"/>
            <w:tcBorders>
              <w:top w:val="nil"/>
              <w:left w:val="nil"/>
              <w:bottom w:val="nil"/>
              <w:right w:val="nil"/>
            </w:tcBorders>
            <w:shd w:val="clear" w:color="auto" w:fill="auto"/>
            <w:noWrap/>
            <w:vAlign w:val="bottom"/>
            <w:hideMark/>
          </w:tcPr>
          <w:p w14:paraId="59E27B9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1" w:type="dxa"/>
            <w:tcBorders>
              <w:top w:val="nil"/>
              <w:left w:val="nil"/>
              <w:bottom w:val="nil"/>
              <w:right w:val="nil"/>
            </w:tcBorders>
            <w:shd w:val="clear" w:color="auto" w:fill="auto"/>
            <w:noWrap/>
            <w:vAlign w:val="bottom"/>
            <w:hideMark/>
          </w:tcPr>
          <w:p w14:paraId="59E27B9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c>
          <w:tcPr>
            <w:tcW w:w="850" w:type="dxa"/>
            <w:tcBorders>
              <w:top w:val="nil"/>
              <w:left w:val="nil"/>
              <w:bottom w:val="nil"/>
              <w:right w:val="nil"/>
            </w:tcBorders>
            <w:shd w:val="clear" w:color="auto" w:fill="auto"/>
            <w:noWrap/>
            <w:vAlign w:val="bottom"/>
            <w:hideMark/>
          </w:tcPr>
          <w:p w14:paraId="59E27B9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25</w:t>
            </w:r>
          </w:p>
        </w:tc>
      </w:tr>
      <w:tr w:rsidR="00581BC4" w:rsidRPr="00581BC4" w14:paraId="59E27B9E" w14:textId="77777777" w:rsidTr="00D03DA7">
        <w:trPr>
          <w:trHeight w:val="255"/>
        </w:trPr>
        <w:tc>
          <w:tcPr>
            <w:tcW w:w="3828" w:type="dxa"/>
            <w:tcBorders>
              <w:top w:val="nil"/>
              <w:left w:val="nil"/>
              <w:bottom w:val="nil"/>
              <w:right w:val="nil"/>
            </w:tcBorders>
            <w:shd w:val="clear" w:color="auto" w:fill="auto"/>
            <w:noWrap/>
            <w:vAlign w:val="bottom"/>
            <w:hideMark/>
          </w:tcPr>
          <w:p w14:paraId="59E27B99"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Vilkaviškio r. Keturvalakių mokykla-daugiafunkcis centras</w:t>
            </w:r>
          </w:p>
        </w:tc>
        <w:tc>
          <w:tcPr>
            <w:tcW w:w="2126" w:type="dxa"/>
            <w:tcBorders>
              <w:top w:val="nil"/>
              <w:left w:val="nil"/>
              <w:bottom w:val="nil"/>
              <w:right w:val="nil"/>
            </w:tcBorders>
            <w:shd w:val="clear" w:color="auto" w:fill="auto"/>
            <w:noWrap/>
            <w:vAlign w:val="bottom"/>
            <w:hideMark/>
          </w:tcPr>
          <w:p w14:paraId="59E27B9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1984" w:type="dxa"/>
            <w:tcBorders>
              <w:top w:val="nil"/>
              <w:left w:val="nil"/>
              <w:bottom w:val="nil"/>
              <w:right w:val="nil"/>
            </w:tcBorders>
            <w:shd w:val="clear" w:color="auto" w:fill="auto"/>
            <w:noWrap/>
            <w:vAlign w:val="bottom"/>
            <w:hideMark/>
          </w:tcPr>
          <w:p w14:paraId="59E27B9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1" w:type="dxa"/>
            <w:tcBorders>
              <w:top w:val="nil"/>
              <w:left w:val="nil"/>
              <w:bottom w:val="nil"/>
              <w:right w:val="nil"/>
            </w:tcBorders>
            <w:shd w:val="clear" w:color="auto" w:fill="auto"/>
            <w:noWrap/>
            <w:vAlign w:val="bottom"/>
            <w:hideMark/>
          </w:tcPr>
          <w:p w14:paraId="59E27B9C"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850" w:type="dxa"/>
            <w:tcBorders>
              <w:top w:val="nil"/>
              <w:left w:val="nil"/>
              <w:bottom w:val="nil"/>
              <w:right w:val="nil"/>
            </w:tcBorders>
            <w:shd w:val="clear" w:color="auto" w:fill="auto"/>
            <w:noWrap/>
            <w:vAlign w:val="bottom"/>
            <w:hideMark/>
          </w:tcPr>
          <w:p w14:paraId="59E27B9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r>
      <w:tr w:rsidR="00581BC4" w:rsidRPr="00581BC4" w14:paraId="59E27BA4" w14:textId="77777777" w:rsidTr="00D03DA7">
        <w:trPr>
          <w:trHeight w:val="255"/>
        </w:trPr>
        <w:tc>
          <w:tcPr>
            <w:tcW w:w="3828" w:type="dxa"/>
            <w:tcBorders>
              <w:top w:val="nil"/>
              <w:left w:val="nil"/>
              <w:bottom w:val="nil"/>
              <w:right w:val="nil"/>
            </w:tcBorders>
            <w:shd w:val="clear" w:color="auto" w:fill="auto"/>
            <w:noWrap/>
            <w:vAlign w:val="bottom"/>
            <w:hideMark/>
          </w:tcPr>
          <w:p w14:paraId="59E27B9F"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 Vilkaviškio r. Kybartų Kristijono Donelaičio gimnazija</w:t>
            </w:r>
          </w:p>
        </w:tc>
        <w:tc>
          <w:tcPr>
            <w:tcW w:w="2126" w:type="dxa"/>
            <w:tcBorders>
              <w:top w:val="nil"/>
              <w:left w:val="nil"/>
              <w:bottom w:val="nil"/>
              <w:right w:val="nil"/>
            </w:tcBorders>
            <w:shd w:val="clear" w:color="auto" w:fill="auto"/>
            <w:noWrap/>
            <w:vAlign w:val="bottom"/>
            <w:hideMark/>
          </w:tcPr>
          <w:p w14:paraId="59E27BA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51</w:t>
            </w:r>
          </w:p>
        </w:tc>
        <w:tc>
          <w:tcPr>
            <w:tcW w:w="1984" w:type="dxa"/>
            <w:tcBorders>
              <w:top w:val="nil"/>
              <w:left w:val="nil"/>
              <w:bottom w:val="nil"/>
              <w:right w:val="nil"/>
            </w:tcBorders>
            <w:shd w:val="clear" w:color="auto" w:fill="auto"/>
            <w:noWrap/>
            <w:vAlign w:val="bottom"/>
            <w:hideMark/>
          </w:tcPr>
          <w:p w14:paraId="59E27BA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1" w:type="dxa"/>
            <w:tcBorders>
              <w:top w:val="nil"/>
              <w:left w:val="nil"/>
              <w:bottom w:val="nil"/>
              <w:right w:val="nil"/>
            </w:tcBorders>
            <w:shd w:val="clear" w:color="auto" w:fill="auto"/>
            <w:noWrap/>
            <w:vAlign w:val="bottom"/>
            <w:hideMark/>
          </w:tcPr>
          <w:p w14:paraId="59E27BA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w:t>
            </w:r>
          </w:p>
        </w:tc>
        <w:tc>
          <w:tcPr>
            <w:tcW w:w="850" w:type="dxa"/>
            <w:tcBorders>
              <w:top w:val="nil"/>
              <w:left w:val="nil"/>
              <w:bottom w:val="nil"/>
              <w:right w:val="nil"/>
            </w:tcBorders>
            <w:shd w:val="clear" w:color="auto" w:fill="auto"/>
            <w:noWrap/>
            <w:vAlign w:val="bottom"/>
            <w:hideMark/>
          </w:tcPr>
          <w:p w14:paraId="59E27BA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65</w:t>
            </w:r>
          </w:p>
        </w:tc>
      </w:tr>
      <w:tr w:rsidR="00581BC4" w:rsidRPr="00581BC4" w14:paraId="59E27BAA" w14:textId="77777777" w:rsidTr="00D03DA7">
        <w:trPr>
          <w:trHeight w:val="255"/>
        </w:trPr>
        <w:tc>
          <w:tcPr>
            <w:tcW w:w="3828" w:type="dxa"/>
            <w:tcBorders>
              <w:top w:val="nil"/>
              <w:left w:val="nil"/>
              <w:bottom w:val="nil"/>
              <w:right w:val="nil"/>
            </w:tcBorders>
            <w:shd w:val="clear" w:color="auto" w:fill="auto"/>
            <w:noWrap/>
            <w:vAlign w:val="bottom"/>
            <w:hideMark/>
          </w:tcPr>
          <w:p w14:paraId="59E27BA5"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 Vilkaviškio r. Kybartų suaugusiųjų mokykla</w:t>
            </w:r>
          </w:p>
        </w:tc>
        <w:tc>
          <w:tcPr>
            <w:tcW w:w="2126" w:type="dxa"/>
            <w:tcBorders>
              <w:top w:val="nil"/>
              <w:left w:val="nil"/>
              <w:bottom w:val="nil"/>
              <w:right w:val="nil"/>
            </w:tcBorders>
            <w:shd w:val="clear" w:color="auto" w:fill="auto"/>
            <w:noWrap/>
            <w:vAlign w:val="bottom"/>
            <w:hideMark/>
          </w:tcPr>
          <w:p w14:paraId="59E27BA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c>
          <w:tcPr>
            <w:tcW w:w="1984" w:type="dxa"/>
            <w:tcBorders>
              <w:top w:val="nil"/>
              <w:left w:val="nil"/>
              <w:bottom w:val="nil"/>
              <w:right w:val="nil"/>
            </w:tcBorders>
            <w:shd w:val="clear" w:color="auto" w:fill="auto"/>
            <w:noWrap/>
            <w:vAlign w:val="bottom"/>
            <w:hideMark/>
          </w:tcPr>
          <w:p w14:paraId="59E27BA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851" w:type="dxa"/>
            <w:tcBorders>
              <w:top w:val="nil"/>
              <w:left w:val="nil"/>
              <w:bottom w:val="nil"/>
              <w:right w:val="nil"/>
            </w:tcBorders>
            <w:shd w:val="clear" w:color="auto" w:fill="auto"/>
            <w:noWrap/>
            <w:vAlign w:val="bottom"/>
            <w:hideMark/>
          </w:tcPr>
          <w:p w14:paraId="59E27BA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850" w:type="dxa"/>
            <w:tcBorders>
              <w:top w:val="nil"/>
              <w:left w:val="nil"/>
              <w:bottom w:val="nil"/>
              <w:right w:val="nil"/>
            </w:tcBorders>
            <w:shd w:val="clear" w:color="auto" w:fill="auto"/>
            <w:noWrap/>
            <w:vAlign w:val="bottom"/>
            <w:hideMark/>
          </w:tcPr>
          <w:p w14:paraId="59E27BA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w:t>
            </w:r>
          </w:p>
        </w:tc>
      </w:tr>
      <w:tr w:rsidR="00581BC4" w:rsidRPr="00581BC4" w14:paraId="59E27BB0" w14:textId="77777777" w:rsidTr="00D03DA7">
        <w:trPr>
          <w:trHeight w:val="255"/>
        </w:trPr>
        <w:tc>
          <w:tcPr>
            <w:tcW w:w="3828" w:type="dxa"/>
            <w:tcBorders>
              <w:top w:val="nil"/>
              <w:left w:val="nil"/>
              <w:bottom w:val="nil"/>
              <w:right w:val="nil"/>
            </w:tcBorders>
            <w:shd w:val="clear" w:color="auto" w:fill="auto"/>
            <w:noWrap/>
            <w:vAlign w:val="bottom"/>
            <w:hideMark/>
          </w:tcPr>
          <w:p w14:paraId="59E27BAB"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 Vilkaviškio r. Paežerių pagrindinė mokykla</w:t>
            </w:r>
          </w:p>
        </w:tc>
        <w:tc>
          <w:tcPr>
            <w:tcW w:w="2126" w:type="dxa"/>
            <w:tcBorders>
              <w:top w:val="nil"/>
              <w:left w:val="nil"/>
              <w:bottom w:val="nil"/>
              <w:right w:val="nil"/>
            </w:tcBorders>
            <w:shd w:val="clear" w:color="auto" w:fill="auto"/>
            <w:noWrap/>
            <w:vAlign w:val="bottom"/>
            <w:hideMark/>
          </w:tcPr>
          <w:p w14:paraId="59E27BA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1984" w:type="dxa"/>
            <w:tcBorders>
              <w:top w:val="nil"/>
              <w:left w:val="nil"/>
              <w:bottom w:val="nil"/>
              <w:right w:val="nil"/>
            </w:tcBorders>
            <w:shd w:val="clear" w:color="auto" w:fill="auto"/>
            <w:noWrap/>
            <w:vAlign w:val="bottom"/>
            <w:hideMark/>
          </w:tcPr>
          <w:p w14:paraId="59E27BA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851" w:type="dxa"/>
            <w:tcBorders>
              <w:top w:val="nil"/>
              <w:left w:val="nil"/>
              <w:bottom w:val="nil"/>
              <w:right w:val="nil"/>
            </w:tcBorders>
            <w:shd w:val="clear" w:color="auto" w:fill="auto"/>
            <w:noWrap/>
            <w:vAlign w:val="bottom"/>
            <w:hideMark/>
          </w:tcPr>
          <w:p w14:paraId="59E27BA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A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r>
      <w:tr w:rsidR="00581BC4" w:rsidRPr="00581BC4" w14:paraId="59E27BB6" w14:textId="77777777" w:rsidTr="00D03DA7">
        <w:trPr>
          <w:trHeight w:val="255"/>
        </w:trPr>
        <w:tc>
          <w:tcPr>
            <w:tcW w:w="3828" w:type="dxa"/>
            <w:tcBorders>
              <w:top w:val="nil"/>
              <w:left w:val="nil"/>
              <w:bottom w:val="nil"/>
              <w:right w:val="nil"/>
            </w:tcBorders>
            <w:shd w:val="clear" w:color="auto" w:fill="auto"/>
            <w:noWrap/>
            <w:vAlign w:val="bottom"/>
            <w:hideMark/>
          </w:tcPr>
          <w:p w14:paraId="59E27BB1"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 Vilkaviškio r. Pilviškių „Santakos“ gimnazija</w:t>
            </w:r>
          </w:p>
        </w:tc>
        <w:tc>
          <w:tcPr>
            <w:tcW w:w="2126" w:type="dxa"/>
            <w:tcBorders>
              <w:top w:val="nil"/>
              <w:left w:val="nil"/>
              <w:bottom w:val="nil"/>
              <w:right w:val="nil"/>
            </w:tcBorders>
            <w:shd w:val="clear" w:color="auto" w:fill="auto"/>
            <w:noWrap/>
            <w:vAlign w:val="bottom"/>
            <w:hideMark/>
          </w:tcPr>
          <w:p w14:paraId="59E27BB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33</w:t>
            </w:r>
          </w:p>
        </w:tc>
        <w:tc>
          <w:tcPr>
            <w:tcW w:w="1984" w:type="dxa"/>
            <w:tcBorders>
              <w:top w:val="nil"/>
              <w:left w:val="nil"/>
              <w:bottom w:val="nil"/>
              <w:right w:val="nil"/>
            </w:tcBorders>
            <w:shd w:val="clear" w:color="auto" w:fill="auto"/>
            <w:noWrap/>
            <w:vAlign w:val="bottom"/>
            <w:hideMark/>
          </w:tcPr>
          <w:p w14:paraId="59E27BB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851" w:type="dxa"/>
            <w:tcBorders>
              <w:top w:val="nil"/>
              <w:left w:val="nil"/>
              <w:bottom w:val="nil"/>
              <w:right w:val="nil"/>
            </w:tcBorders>
            <w:shd w:val="clear" w:color="auto" w:fill="auto"/>
            <w:noWrap/>
            <w:vAlign w:val="bottom"/>
            <w:hideMark/>
          </w:tcPr>
          <w:p w14:paraId="59E27BB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0" w:type="dxa"/>
            <w:tcBorders>
              <w:top w:val="nil"/>
              <w:left w:val="nil"/>
              <w:bottom w:val="nil"/>
              <w:right w:val="nil"/>
            </w:tcBorders>
            <w:shd w:val="clear" w:color="auto" w:fill="auto"/>
            <w:noWrap/>
            <w:vAlign w:val="bottom"/>
            <w:hideMark/>
          </w:tcPr>
          <w:p w14:paraId="59E27BB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40</w:t>
            </w:r>
          </w:p>
        </w:tc>
      </w:tr>
      <w:tr w:rsidR="00581BC4" w:rsidRPr="00581BC4" w14:paraId="59E27BBC" w14:textId="77777777" w:rsidTr="00D03DA7">
        <w:trPr>
          <w:trHeight w:val="255"/>
        </w:trPr>
        <w:tc>
          <w:tcPr>
            <w:tcW w:w="3828" w:type="dxa"/>
            <w:tcBorders>
              <w:top w:val="nil"/>
              <w:left w:val="nil"/>
              <w:bottom w:val="nil"/>
              <w:right w:val="nil"/>
            </w:tcBorders>
            <w:shd w:val="clear" w:color="auto" w:fill="auto"/>
            <w:noWrap/>
            <w:vAlign w:val="bottom"/>
            <w:hideMark/>
          </w:tcPr>
          <w:p w14:paraId="59E27BB7"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 xml:space="preserve">11. Vilkaviškio r. </w:t>
            </w:r>
            <w:proofErr w:type="spellStart"/>
            <w:r w:rsidRPr="00581BC4">
              <w:rPr>
                <w:rFonts w:ascii="Times New Roman" w:eastAsia="Times New Roman" w:hAnsi="Times New Roman" w:cs="Times New Roman"/>
                <w:color w:val="000000"/>
                <w:sz w:val="24"/>
                <w:szCs w:val="24"/>
                <w:lang w:eastAsia="lt-LT"/>
              </w:rPr>
              <w:t>Sūdavos</w:t>
            </w:r>
            <w:proofErr w:type="spellEnd"/>
            <w:r w:rsidRPr="00581BC4">
              <w:rPr>
                <w:rFonts w:ascii="Times New Roman" w:eastAsia="Times New Roman" w:hAnsi="Times New Roman" w:cs="Times New Roman"/>
                <w:color w:val="000000"/>
                <w:sz w:val="24"/>
                <w:szCs w:val="24"/>
                <w:lang w:eastAsia="lt-LT"/>
              </w:rPr>
              <w:t xml:space="preserve"> pagrindinė mokykla</w:t>
            </w:r>
          </w:p>
        </w:tc>
        <w:tc>
          <w:tcPr>
            <w:tcW w:w="2126" w:type="dxa"/>
            <w:tcBorders>
              <w:top w:val="nil"/>
              <w:left w:val="nil"/>
              <w:bottom w:val="nil"/>
              <w:right w:val="nil"/>
            </w:tcBorders>
            <w:shd w:val="clear" w:color="auto" w:fill="auto"/>
            <w:noWrap/>
            <w:vAlign w:val="bottom"/>
            <w:hideMark/>
          </w:tcPr>
          <w:p w14:paraId="59E27BB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c>
          <w:tcPr>
            <w:tcW w:w="1984" w:type="dxa"/>
            <w:tcBorders>
              <w:top w:val="nil"/>
              <w:left w:val="nil"/>
              <w:bottom w:val="nil"/>
              <w:right w:val="nil"/>
            </w:tcBorders>
            <w:shd w:val="clear" w:color="auto" w:fill="auto"/>
            <w:noWrap/>
            <w:vAlign w:val="bottom"/>
            <w:hideMark/>
          </w:tcPr>
          <w:p w14:paraId="59E27BB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1" w:type="dxa"/>
            <w:tcBorders>
              <w:top w:val="nil"/>
              <w:left w:val="nil"/>
              <w:bottom w:val="nil"/>
              <w:right w:val="nil"/>
            </w:tcBorders>
            <w:shd w:val="clear" w:color="auto" w:fill="auto"/>
            <w:noWrap/>
            <w:vAlign w:val="bottom"/>
            <w:hideMark/>
          </w:tcPr>
          <w:p w14:paraId="59E27BBA"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850" w:type="dxa"/>
            <w:tcBorders>
              <w:top w:val="nil"/>
              <w:left w:val="nil"/>
              <w:bottom w:val="nil"/>
              <w:right w:val="nil"/>
            </w:tcBorders>
            <w:shd w:val="clear" w:color="auto" w:fill="auto"/>
            <w:noWrap/>
            <w:vAlign w:val="bottom"/>
            <w:hideMark/>
          </w:tcPr>
          <w:p w14:paraId="59E27BB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r>
      <w:tr w:rsidR="00581BC4" w:rsidRPr="00581BC4" w14:paraId="59E27BC2" w14:textId="77777777" w:rsidTr="00D03DA7">
        <w:trPr>
          <w:trHeight w:val="255"/>
        </w:trPr>
        <w:tc>
          <w:tcPr>
            <w:tcW w:w="3828" w:type="dxa"/>
            <w:tcBorders>
              <w:top w:val="nil"/>
              <w:left w:val="nil"/>
              <w:bottom w:val="nil"/>
              <w:right w:val="nil"/>
            </w:tcBorders>
            <w:shd w:val="clear" w:color="auto" w:fill="auto"/>
            <w:noWrap/>
            <w:vAlign w:val="bottom"/>
            <w:hideMark/>
          </w:tcPr>
          <w:p w14:paraId="59E27BBD"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12. Vilkaviškio r. Virbalio pagrindinė mokykla</w:t>
            </w:r>
          </w:p>
        </w:tc>
        <w:tc>
          <w:tcPr>
            <w:tcW w:w="2126" w:type="dxa"/>
            <w:tcBorders>
              <w:top w:val="nil"/>
              <w:left w:val="nil"/>
              <w:bottom w:val="nil"/>
              <w:right w:val="nil"/>
            </w:tcBorders>
            <w:shd w:val="clear" w:color="auto" w:fill="auto"/>
            <w:noWrap/>
            <w:vAlign w:val="bottom"/>
            <w:hideMark/>
          </w:tcPr>
          <w:p w14:paraId="59E27BB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18</w:t>
            </w:r>
          </w:p>
        </w:tc>
        <w:tc>
          <w:tcPr>
            <w:tcW w:w="1984" w:type="dxa"/>
            <w:tcBorders>
              <w:top w:val="nil"/>
              <w:left w:val="nil"/>
              <w:bottom w:val="nil"/>
              <w:right w:val="nil"/>
            </w:tcBorders>
            <w:shd w:val="clear" w:color="auto" w:fill="auto"/>
            <w:noWrap/>
            <w:vAlign w:val="bottom"/>
            <w:hideMark/>
          </w:tcPr>
          <w:p w14:paraId="59E27BB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1" w:type="dxa"/>
            <w:tcBorders>
              <w:top w:val="nil"/>
              <w:left w:val="nil"/>
              <w:bottom w:val="nil"/>
              <w:right w:val="nil"/>
            </w:tcBorders>
            <w:shd w:val="clear" w:color="auto" w:fill="auto"/>
            <w:noWrap/>
            <w:vAlign w:val="bottom"/>
            <w:hideMark/>
          </w:tcPr>
          <w:p w14:paraId="59E27BC0"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850" w:type="dxa"/>
            <w:tcBorders>
              <w:top w:val="nil"/>
              <w:left w:val="nil"/>
              <w:bottom w:val="nil"/>
              <w:right w:val="nil"/>
            </w:tcBorders>
            <w:shd w:val="clear" w:color="auto" w:fill="auto"/>
            <w:noWrap/>
            <w:vAlign w:val="bottom"/>
            <w:hideMark/>
          </w:tcPr>
          <w:p w14:paraId="59E27BC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18</w:t>
            </w:r>
          </w:p>
        </w:tc>
      </w:tr>
      <w:tr w:rsidR="00581BC4" w:rsidRPr="00581BC4" w14:paraId="59E27BC8" w14:textId="77777777" w:rsidTr="00D03DA7">
        <w:trPr>
          <w:trHeight w:val="255"/>
        </w:trPr>
        <w:tc>
          <w:tcPr>
            <w:tcW w:w="3828" w:type="dxa"/>
            <w:tcBorders>
              <w:top w:val="nil"/>
              <w:left w:val="nil"/>
              <w:bottom w:val="nil"/>
              <w:right w:val="nil"/>
            </w:tcBorders>
            <w:shd w:val="clear" w:color="auto" w:fill="auto"/>
            <w:noWrap/>
            <w:vAlign w:val="bottom"/>
            <w:hideMark/>
          </w:tcPr>
          <w:p w14:paraId="59E27BC3"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 Vilkaviškio r. Vištyčio Petro Kriaučiūno mokykla-daugiafunkcis centras</w:t>
            </w:r>
          </w:p>
        </w:tc>
        <w:tc>
          <w:tcPr>
            <w:tcW w:w="2126" w:type="dxa"/>
            <w:tcBorders>
              <w:top w:val="nil"/>
              <w:left w:val="nil"/>
              <w:bottom w:val="nil"/>
              <w:right w:val="nil"/>
            </w:tcBorders>
            <w:shd w:val="clear" w:color="auto" w:fill="auto"/>
            <w:noWrap/>
            <w:vAlign w:val="bottom"/>
            <w:hideMark/>
          </w:tcPr>
          <w:p w14:paraId="59E27BC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1984" w:type="dxa"/>
            <w:tcBorders>
              <w:top w:val="nil"/>
              <w:left w:val="nil"/>
              <w:bottom w:val="nil"/>
              <w:right w:val="nil"/>
            </w:tcBorders>
            <w:shd w:val="clear" w:color="auto" w:fill="auto"/>
            <w:noWrap/>
            <w:vAlign w:val="bottom"/>
            <w:hideMark/>
          </w:tcPr>
          <w:p w14:paraId="59E27BC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c>
          <w:tcPr>
            <w:tcW w:w="851" w:type="dxa"/>
            <w:tcBorders>
              <w:top w:val="nil"/>
              <w:left w:val="nil"/>
              <w:bottom w:val="nil"/>
              <w:right w:val="nil"/>
            </w:tcBorders>
            <w:shd w:val="clear" w:color="auto" w:fill="auto"/>
            <w:noWrap/>
            <w:vAlign w:val="bottom"/>
            <w:hideMark/>
          </w:tcPr>
          <w:p w14:paraId="59E27BC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C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r>
      <w:tr w:rsidR="00581BC4" w:rsidRPr="00581BC4" w14:paraId="59E27BCE" w14:textId="77777777" w:rsidTr="00D03DA7">
        <w:trPr>
          <w:trHeight w:val="255"/>
        </w:trPr>
        <w:tc>
          <w:tcPr>
            <w:tcW w:w="3828" w:type="dxa"/>
            <w:tcBorders>
              <w:top w:val="nil"/>
              <w:left w:val="nil"/>
              <w:bottom w:val="nil"/>
              <w:right w:val="nil"/>
            </w:tcBorders>
            <w:shd w:val="clear" w:color="auto" w:fill="auto"/>
            <w:noWrap/>
            <w:vAlign w:val="bottom"/>
            <w:hideMark/>
          </w:tcPr>
          <w:p w14:paraId="59E27BC9" w14:textId="77777777" w:rsidR="00581BC4" w:rsidRPr="00581BC4" w:rsidRDefault="00581BC4" w:rsidP="00D42386">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15. Vilkaviškio r</w:t>
            </w:r>
            <w:r w:rsidR="00D42386">
              <w:rPr>
                <w:rFonts w:ascii="Times New Roman" w:eastAsia="Times New Roman" w:hAnsi="Times New Roman" w:cs="Times New Roman"/>
                <w:color w:val="000000"/>
                <w:sz w:val="24"/>
                <w:szCs w:val="24"/>
                <w:lang w:eastAsia="lt-LT"/>
              </w:rPr>
              <w:t>.</w:t>
            </w:r>
            <w:r w:rsidRPr="00581BC4">
              <w:rPr>
                <w:rFonts w:ascii="Times New Roman" w:eastAsia="Times New Roman" w:hAnsi="Times New Roman" w:cs="Times New Roman"/>
                <w:color w:val="000000"/>
                <w:sz w:val="24"/>
                <w:szCs w:val="24"/>
                <w:lang w:eastAsia="lt-LT"/>
              </w:rPr>
              <w:t xml:space="preserve"> Pajevonio pagrindinė mokykla</w:t>
            </w:r>
          </w:p>
        </w:tc>
        <w:tc>
          <w:tcPr>
            <w:tcW w:w="2126" w:type="dxa"/>
            <w:tcBorders>
              <w:top w:val="nil"/>
              <w:left w:val="nil"/>
              <w:bottom w:val="nil"/>
              <w:right w:val="nil"/>
            </w:tcBorders>
            <w:shd w:val="clear" w:color="auto" w:fill="auto"/>
            <w:noWrap/>
            <w:vAlign w:val="bottom"/>
            <w:hideMark/>
          </w:tcPr>
          <w:p w14:paraId="59E27BC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1984" w:type="dxa"/>
            <w:tcBorders>
              <w:top w:val="nil"/>
              <w:left w:val="nil"/>
              <w:bottom w:val="nil"/>
              <w:right w:val="nil"/>
            </w:tcBorders>
            <w:shd w:val="clear" w:color="auto" w:fill="auto"/>
            <w:noWrap/>
            <w:vAlign w:val="bottom"/>
            <w:hideMark/>
          </w:tcPr>
          <w:p w14:paraId="59E27BC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1" w:type="dxa"/>
            <w:tcBorders>
              <w:top w:val="nil"/>
              <w:left w:val="nil"/>
              <w:bottom w:val="nil"/>
              <w:right w:val="nil"/>
            </w:tcBorders>
            <w:shd w:val="clear" w:color="auto" w:fill="auto"/>
            <w:noWrap/>
            <w:vAlign w:val="bottom"/>
            <w:hideMark/>
          </w:tcPr>
          <w:p w14:paraId="59E27BC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C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r>
      <w:tr w:rsidR="00581BC4" w:rsidRPr="00581BC4" w14:paraId="59E27BD4" w14:textId="77777777" w:rsidTr="00D03DA7">
        <w:trPr>
          <w:trHeight w:val="255"/>
        </w:trPr>
        <w:tc>
          <w:tcPr>
            <w:tcW w:w="3828" w:type="dxa"/>
            <w:tcBorders>
              <w:top w:val="nil"/>
              <w:left w:val="nil"/>
              <w:bottom w:val="nil"/>
              <w:right w:val="nil"/>
            </w:tcBorders>
            <w:shd w:val="clear" w:color="auto" w:fill="auto"/>
            <w:noWrap/>
            <w:vAlign w:val="bottom"/>
            <w:hideMark/>
          </w:tcPr>
          <w:p w14:paraId="59E27BCF"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16. Vilkaviškio Salomėjos Nėries pagrindinė mokykla</w:t>
            </w:r>
          </w:p>
        </w:tc>
        <w:tc>
          <w:tcPr>
            <w:tcW w:w="2126" w:type="dxa"/>
            <w:tcBorders>
              <w:top w:val="nil"/>
              <w:left w:val="nil"/>
              <w:bottom w:val="nil"/>
              <w:right w:val="nil"/>
            </w:tcBorders>
            <w:shd w:val="clear" w:color="auto" w:fill="auto"/>
            <w:noWrap/>
            <w:vAlign w:val="bottom"/>
            <w:hideMark/>
          </w:tcPr>
          <w:p w14:paraId="59E27BD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4" w:type="dxa"/>
            <w:tcBorders>
              <w:top w:val="nil"/>
              <w:left w:val="nil"/>
              <w:bottom w:val="nil"/>
              <w:right w:val="nil"/>
            </w:tcBorders>
            <w:shd w:val="clear" w:color="auto" w:fill="auto"/>
            <w:noWrap/>
            <w:vAlign w:val="bottom"/>
            <w:hideMark/>
          </w:tcPr>
          <w:p w14:paraId="59E27BD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c>
          <w:tcPr>
            <w:tcW w:w="851" w:type="dxa"/>
            <w:tcBorders>
              <w:top w:val="nil"/>
              <w:left w:val="nil"/>
              <w:bottom w:val="nil"/>
              <w:right w:val="nil"/>
            </w:tcBorders>
            <w:shd w:val="clear" w:color="auto" w:fill="auto"/>
            <w:noWrap/>
            <w:vAlign w:val="bottom"/>
            <w:hideMark/>
          </w:tcPr>
          <w:p w14:paraId="59E27BD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D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r>
      <w:tr w:rsidR="00581BC4" w:rsidRPr="00581BC4" w14:paraId="59E27BDA" w14:textId="77777777" w:rsidTr="00D03DA7">
        <w:trPr>
          <w:trHeight w:val="255"/>
        </w:trPr>
        <w:tc>
          <w:tcPr>
            <w:tcW w:w="3828" w:type="dxa"/>
            <w:tcBorders>
              <w:top w:val="single" w:sz="4" w:space="0" w:color="95B3D7"/>
              <w:left w:val="nil"/>
              <w:bottom w:val="nil"/>
              <w:right w:val="nil"/>
            </w:tcBorders>
            <w:shd w:val="clear" w:color="DCE6F1" w:fill="DCE6F1"/>
            <w:noWrap/>
            <w:vAlign w:val="bottom"/>
            <w:hideMark/>
          </w:tcPr>
          <w:p w14:paraId="59E27BD5"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Bendroji suma</w:t>
            </w:r>
          </w:p>
        </w:tc>
        <w:tc>
          <w:tcPr>
            <w:tcW w:w="2126" w:type="dxa"/>
            <w:tcBorders>
              <w:top w:val="single" w:sz="4" w:space="0" w:color="95B3D7"/>
              <w:left w:val="nil"/>
              <w:bottom w:val="nil"/>
              <w:right w:val="nil"/>
            </w:tcBorders>
            <w:shd w:val="clear" w:color="DCE6F1" w:fill="DCE6F1"/>
            <w:noWrap/>
            <w:vAlign w:val="bottom"/>
            <w:hideMark/>
          </w:tcPr>
          <w:p w14:paraId="59E27BD6"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300</w:t>
            </w:r>
          </w:p>
        </w:tc>
        <w:tc>
          <w:tcPr>
            <w:tcW w:w="1984" w:type="dxa"/>
            <w:tcBorders>
              <w:top w:val="single" w:sz="4" w:space="0" w:color="95B3D7"/>
              <w:left w:val="nil"/>
              <w:bottom w:val="nil"/>
              <w:right w:val="nil"/>
            </w:tcBorders>
            <w:shd w:val="clear" w:color="DCE6F1" w:fill="DCE6F1"/>
            <w:noWrap/>
            <w:vAlign w:val="bottom"/>
            <w:hideMark/>
          </w:tcPr>
          <w:p w14:paraId="59E27BD7"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45</w:t>
            </w:r>
          </w:p>
        </w:tc>
        <w:tc>
          <w:tcPr>
            <w:tcW w:w="851" w:type="dxa"/>
            <w:tcBorders>
              <w:top w:val="single" w:sz="4" w:space="0" w:color="95B3D7"/>
              <w:left w:val="nil"/>
              <w:bottom w:val="nil"/>
              <w:right w:val="nil"/>
            </w:tcBorders>
            <w:shd w:val="clear" w:color="DCE6F1" w:fill="DCE6F1"/>
            <w:noWrap/>
            <w:vAlign w:val="bottom"/>
            <w:hideMark/>
          </w:tcPr>
          <w:p w14:paraId="59E27BD8"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50</w:t>
            </w:r>
          </w:p>
        </w:tc>
        <w:tc>
          <w:tcPr>
            <w:tcW w:w="850" w:type="dxa"/>
            <w:tcBorders>
              <w:top w:val="single" w:sz="4" w:space="0" w:color="95B3D7"/>
              <w:left w:val="nil"/>
              <w:bottom w:val="nil"/>
              <w:right w:val="nil"/>
            </w:tcBorders>
            <w:shd w:val="clear" w:color="DCE6F1" w:fill="DCE6F1"/>
            <w:noWrap/>
            <w:vAlign w:val="bottom"/>
            <w:hideMark/>
          </w:tcPr>
          <w:p w14:paraId="59E27BD9"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395</w:t>
            </w:r>
          </w:p>
        </w:tc>
      </w:tr>
    </w:tbl>
    <w:p w14:paraId="59E27BDB" w14:textId="77777777" w:rsidR="00581BC4" w:rsidRPr="00625CDF" w:rsidRDefault="00581BC4" w:rsidP="00D42386">
      <w:pPr>
        <w:spacing w:after="0" w:line="240" w:lineRule="auto"/>
        <w:ind w:left="-425"/>
        <w:rPr>
          <w:rFonts w:ascii="Times New Roman" w:hAnsi="Times New Roman" w:cs="Times New Roman"/>
          <w:sz w:val="24"/>
          <w:szCs w:val="24"/>
        </w:rPr>
      </w:pPr>
      <w:r w:rsidRPr="00581BC4">
        <w:rPr>
          <w:rFonts w:ascii="Times New Roman" w:hAnsi="Times New Roman" w:cs="Times New Roman"/>
          <w:b/>
          <w:sz w:val="24"/>
          <w:szCs w:val="24"/>
        </w:rPr>
        <w:lastRenderedPageBreak/>
        <w:tab/>
      </w:r>
      <w:r w:rsidRPr="00625CDF">
        <w:rPr>
          <w:rFonts w:ascii="Times New Roman" w:hAnsi="Times New Roman" w:cs="Times New Roman"/>
          <w:bCs/>
          <w:i/>
          <w:iCs/>
          <w:sz w:val="24"/>
          <w:szCs w:val="24"/>
        </w:rPr>
        <w:t>Kaip tęsė mokslą pagrindinio ugdymo programą 2020 m. baigę savivaldybės mokyklų</w:t>
      </w:r>
      <w:r w:rsidR="00D42386" w:rsidRPr="00625CDF">
        <w:rPr>
          <w:rFonts w:ascii="Times New Roman" w:hAnsi="Times New Roman" w:cs="Times New Roman"/>
          <w:bCs/>
          <w:i/>
          <w:iCs/>
          <w:sz w:val="24"/>
          <w:szCs w:val="24"/>
        </w:rPr>
        <w:t xml:space="preserve"> m</w:t>
      </w:r>
      <w:r w:rsidRPr="00625CDF">
        <w:rPr>
          <w:rFonts w:ascii="Times New Roman" w:hAnsi="Times New Roman" w:cs="Times New Roman"/>
          <w:bCs/>
          <w:i/>
          <w:iCs/>
          <w:sz w:val="24"/>
          <w:szCs w:val="24"/>
        </w:rPr>
        <w:t>okiniai</w:t>
      </w:r>
      <w:r w:rsidR="00D42386" w:rsidRPr="00625CDF">
        <w:rPr>
          <w:rFonts w:ascii="Times New Roman" w:hAnsi="Times New Roman" w:cs="Times New Roman"/>
          <w:bCs/>
          <w:i/>
          <w:iCs/>
          <w:sz w:val="24"/>
          <w:szCs w:val="24"/>
        </w:rPr>
        <w:t>:</w:t>
      </w:r>
    </w:p>
    <w:tbl>
      <w:tblPr>
        <w:tblW w:w="9639" w:type="dxa"/>
        <w:tblLook w:val="04A0" w:firstRow="1" w:lastRow="0" w:firstColumn="1" w:lastColumn="0" w:noHBand="0" w:noVBand="1"/>
      </w:tblPr>
      <w:tblGrid>
        <w:gridCol w:w="3544"/>
        <w:gridCol w:w="2126"/>
        <w:gridCol w:w="1985"/>
        <w:gridCol w:w="850"/>
        <w:gridCol w:w="1134"/>
      </w:tblGrid>
      <w:tr w:rsidR="00581BC4" w:rsidRPr="00581BC4" w14:paraId="59E27BE1" w14:textId="77777777" w:rsidTr="00D03DA7">
        <w:trPr>
          <w:trHeight w:val="1020"/>
        </w:trPr>
        <w:tc>
          <w:tcPr>
            <w:tcW w:w="3544" w:type="dxa"/>
            <w:tcBorders>
              <w:top w:val="nil"/>
              <w:left w:val="nil"/>
              <w:bottom w:val="single" w:sz="4" w:space="0" w:color="95B3D7"/>
              <w:right w:val="nil"/>
            </w:tcBorders>
            <w:shd w:val="clear" w:color="DCE6F1" w:fill="DCE6F1"/>
            <w:hideMark/>
          </w:tcPr>
          <w:p w14:paraId="59E27BDC"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Mokykla</w:t>
            </w:r>
          </w:p>
        </w:tc>
        <w:tc>
          <w:tcPr>
            <w:tcW w:w="2126" w:type="dxa"/>
            <w:tcBorders>
              <w:top w:val="nil"/>
              <w:left w:val="nil"/>
              <w:bottom w:val="single" w:sz="4" w:space="0" w:color="95B3D7"/>
              <w:right w:val="nil"/>
            </w:tcBorders>
            <w:shd w:val="clear" w:color="DCE6F1" w:fill="DCE6F1"/>
            <w:hideMark/>
          </w:tcPr>
          <w:p w14:paraId="59E27BDD"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bendrojo ugdymo mokykloje</w:t>
            </w:r>
          </w:p>
        </w:tc>
        <w:tc>
          <w:tcPr>
            <w:tcW w:w="1985" w:type="dxa"/>
            <w:tcBorders>
              <w:top w:val="nil"/>
              <w:left w:val="nil"/>
              <w:bottom w:val="single" w:sz="4" w:space="0" w:color="95B3D7"/>
              <w:right w:val="nil"/>
            </w:tcBorders>
            <w:shd w:val="clear" w:color="DCE6F1" w:fill="DCE6F1"/>
            <w:hideMark/>
          </w:tcPr>
          <w:p w14:paraId="59E27BDE"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profesinėje mokykloje</w:t>
            </w:r>
          </w:p>
        </w:tc>
        <w:tc>
          <w:tcPr>
            <w:tcW w:w="850" w:type="dxa"/>
            <w:tcBorders>
              <w:top w:val="nil"/>
              <w:left w:val="nil"/>
              <w:bottom w:val="single" w:sz="4" w:space="0" w:color="95B3D7"/>
              <w:right w:val="nil"/>
            </w:tcBorders>
            <w:shd w:val="clear" w:color="DCE6F1" w:fill="DCE6F1"/>
            <w:hideMark/>
          </w:tcPr>
          <w:p w14:paraId="59E27BDF"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Kita veikla</w:t>
            </w:r>
          </w:p>
        </w:tc>
        <w:tc>
          <w:tcPr>
            <w:tcW w:w="1134" w:type="dxa"/>
            <w:tcBorders>
              <w:top w:val="nil"/>
              <w:left w:val="nil"/>
              <w:bottom w:val="single" w:sz="4" w:space="0" w:color="95B3D7"/>
              <w:right w:val="nil"/>
            </w:tcBorders>
            <w:shd w:val="clear" w:color="DCE6F1" w:fill="DCE6F1"/>
            <w:hideMark/>
          </w:tcPr>
          <w:p w14:paraId="59E27BE0"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Bendroji suma</w:t>
            </w:r>
          </w:p>
        </w:tc>
      </w:tr>
      <w:tr w:rsidR="00581BC4" w:rsidRPr="00581BC4" w14:paraId="59E27BE7" w14:textId="77777777" w:rsidTr="00D03DA7">
        <w:trPr>
          <w:trHeight w:val="255"/>
        </w:trPr>
        <w:tc>
          <w:tcPr>
            <w:tcW w:w="3544" w:type="dxa"/>
            <w:tcBorders>
              <w:top w:val="nil"/>
              <w:left w:val="nil"/>
              <w:bottom w:val="nil"/>
              <w:right w:val="nil"/>
            </w:tcBorders>
            <w:shd w:val="clear" w:color="auto" w:fill="auto"/>
            <w:noWrap/>
            <w:vAlign w:val="bottom"/>
            <w:hideMark/>
          </w:tcPr>
          <w:p w14:paraId="59E27BE2"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 Vilkaviškio „Aušros“ gimnazija</w:t>
            </w:r>
          </w:p>
        </w:tc>
        <w:tc>
          <w:tcPr>
            <w:tcW w:w="2126" w:type="dxa"/>
            <w:tcBorders>
              <w:top w:val="nil"/>
              <w:left w:val="nil"/>
              <w:bottom w:val="nil"/>
              <w:right w:val="nil"/>
            </w:tcBorders>
            <w:shd w:val="clear" w:color="auto" w:fill="auto"/>
            <w:noWrap/>
            <w:vAlign w:val="bottom"/>
            <w:hideMark/>
          </w:tcPr>
          <w:p w14:paraId="59E27BE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129</w:t>
            </w:r>
          </w:p>
        </w:tc>
        <w:tc>
          <w:tcPr>
            <w:tcW w:w="1985" w:type="dxa"/>
            <w:tcBorders>
              <w:top w:val="nil"/>
              <w:left w:val="nil"/>
              <w:bottom w:val="nil"/>
              <w:right w:val="nil"/>
            </w:tcBorders>
            <w:shd w:val="clear" w:color="auto" w:fill="auto"/>
            <w:noWrap/>
            <w:vAlign w:val="bottom"/>
            <w:hideMark/>
          </w:tcPr>
          <w:p w14:paraId="59E27BE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c>
          <w:tcPr>
            <w:tcW w:w="850" w:type="dxa"/>
            <w:tcBorders>
              <w:top w:val="nil"/>
              <w:left w:val="nil"/>
              <w:bottom w:val="nil"/>
              <w:right w:val="nil"/>
            </w:tcBorders>
            <w:shd w:val="clear" w:color="auto" w:fill="auto"/>
            <w:noWrap/>
            <w:vAlign w:val="bottom"/>
            <w:hideMark/>
          </w:tcPr>
          <w:p w14:paraId="59E27BE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24</w:t>
            </w:r>
          </w:p>
        </w:tc>
        <w:tc>
          <w:tcPr>
            <w:tcW w:w="1134" w:type="dxa"/>
            <w:tcBorders>
              <w:top w:val="nil"/>
              <w:left w:val="nil"/>
              <w:bottom w:val="nil"/>
              <w:right w:val="nil"/>
            </w:tcBorders>
            <w:shd w:val="clear" w:color="auto" w:fill="auto"/>
            <w:noWrap/>
            <w:vAlign w:val="bottom"/>
            <w:hideMark/>
          </w:tcPr>
          <w:p w14:paraId="59E27BE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160</w:t>
            </w:r>
          </w:p>
        </w:tc>
      </w:tr>
      <w:tr w:rsidR="00581BC4" w:rsidRPr="00581BC4" w14:paraId="59E27BED" w14:textId="77777777" w:rsidTr="00D03DA7">
        <w:trPr>
          <w:trHeight w:val="255"/>
        </w:trPr>
        <w:tc>
          <w:tcPr>
            <w:tcW w:w="3544" w:type="dxa"/>
            <w:tcBorders>
              <w:top w:val="nil"/>
              <w:left w:val="nil"/>
              <w:bottom w:val="nil"/>
              <w:right w:val="nil"/>
            </w:tcBorders>
            <w:shd w:val="clear" w:color="auto" w:fill="auto"/>
            <w:noWrap/>
            <w:vAlign w:val="bottom"/>
            <w:hideMark/>
          </w:tcPr>
          <w:p w14:paraId="59E27BE8"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 Vilkaviškio r. Alvito mokykla-daugiafunkcis centras</w:t>
            </w:r>
          </w:p>
        </w:tc>
        <w:tc>
          <w:tcPr>
            <w:tcW w:w="2126" w:type="dxa"/>
            <w:tcBorders>
              <w:top w:val="nil"/>
              <w:left w:val="nil"/>
              <w:bottom w:val="nil"/>
              <w:right w:val="nil"/>
            </w:tcBorders>
            <w:shd w:val="clear" w:color="auto" w:fill="auto"/>
            <w:noWrap/>
            <w:vAlign w:val="bottom"/>
            <w:hideMark/>
          </w:tcPr>
          <w:p w14:paraId="59E27BE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1985" w:type="dxa"/>
            <w:tcBorders>
              <w:top w:val="nil"/>
              <w:left w:val="nil"/>
              <w:bottom w:val="nil"/>
              <w:right w:val="nil"/>
            </w:tcBorders>
            <w:shd w:val="clear" w:color="auto" w:fill="auto"/>
            <w:noWrap/>
            <w:vAlign w:val="bottom"/>
            <w:hideMark/>
          </w:tcPr>
          <w:p w14:paraId="59E27BE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0" w:type="dxa"/>
            <w:tcBorders>
              <w:top w:val="nil"/>
              <w:left w:val="nil"/>
              <w:bottom w:val="nil"/>
              <w:right w:val="nil"/>
            </w:tcBorders>
            <w:shd w:val="clear" w:color="auto" w:fill="auto"/>
            <w:noWrap/>
            <w:vAlign w:val="bottom"/>
            <w:hideMark/>
          </w:tcPr>
          <w:p w14:paraId="59E27BE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BE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r>
      <w:tr w:rsidR="00581BC4" w:rsidRPr="00581BC4" w14:paraId="59E27BF3" w14:textId="77777777" w:rsidTr="00D03DA7">
        <w:trPr>
          <w:trHeight w:val="255"/>
        </w:trPr>
        <w:tc>
          <w:tcPr>
            <w:tcW w:w="3544" w:type="dxa"/>
            <w:tcBorders>
              <w:top w:val="nil"/>
              <w:left w:val="nil"/>
              <w:bottom w:val="nil"/>
              <w:right w:val="nil"/>
            </w:tcBorders>
            <w:shd w:val="clear" w:color="auto" w:fill="auto"/>
            <w:noWrap/>
            <w:vAlign w:val="bottom"/>
            <w:hideMark/>
          </w:tcPr>
          <w:p w14:paraId="59E27BEE"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 Vilkaviškio r. Bartninkų Jono Basanavičiaus mokykla-daugiafunkcis centras</w:t>
            </w:r>
          </w:p>
        </w:tc>
        <w:tc>
          <w:tcPr>
            <w:tcW w:w="2126" w:type="dxa"/>
            <w:tcBorders>
              <w:top w:val="nil"/>
              <w:left w:val="nil"/>
              <w:bottom w:val="nil"/>
              <w:right w:val="nil"/>
            </w:tcBorders>
            <w:shd w:val="clear" w:color="auto" w:fill="auto"/>
            <w:noWrap/>
            <w:vAlign w:val="bottom"/>
            <w:hideMark/>
          </w:tcPr>
          <w:p w14:paraId="59E27BE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w:t>
            </w:r>
          </w:p>
        </w:tc>
        <w:tc>
          <w:tcPr>
            <w:tcW w:w="1985" w:type="dxa"/>
            <w:tcBorders>
              <w:top w:val="nil"/>
              <w:left w:val="nil"/>
              <w:bottom w:val="nil"/>
              <w:right w:val="nil"/>
            </w:tcBorders>
            <w:shd w:val="clear" w:color="auto" w:fill="auto"/>
            <w:noWrap/>
            <w:vAlign w:val="bottom"/>
            <w:hideMark/>
          </w:tcPr>
          <w:p w14:paraId="59E27BF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BF1"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nil"/>
              <w:right w:val="nil"/>
            </w:tcBorders>
            <w:shd w:val="clear" w:color="auto" w:fill="auto"/>
            <w:noWrap/>
            <w:vAlign w:val="bottom"/>
            <w:hideMark/>
          </w:tcPr>
          <w:p w14:paraId="59E27BF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w:t>
            </w:r>
          </w:p>
        </w:tc>
      </w:tr>
      <w:tr w:rsidR="00581BC4" w:rsidRPr="00581BC4" w14:paraId="59E27BF9" w14:textId="77777777" w:rsidTr="00D03DA7">
        <w:trPr>
          <w:trHeight w:val="255"/>
        </w:trPr>
        <w:tc>
          <w:tcPr>
            <w:tcW w:w="3544" w:type="dxa"/>
            <w:tcBorders>
              <w:top w:val="nil"/>
              <w:left w:val="nil"/>
              <w:bottom w:val="nil"/>
              <w:right w:val="nil"/>
            </w:tcBorders>
            <w:shd w:val="clear" w:color="auto" w:fill="auto"/>
            <w:noWrap/>
            <w:vAlign w:val="bottom"/>
            <w:hideMark/>
          </w:tcPr>
          <w:p w14:paraId="59E27BF4"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 Vilkaviškio r. Giedrių jaunimo ir suaugusiųjų mokykla</w:t>
            </w:r>
          </w:p>
        </w:tc>
        <w:tc>
          <w:tcPr>
            <w:tcW w:w="2126" w:type="dxa"/>
            <w:tcBorders>
              <w:top w:val="nil"/>
              <w:left w:val="nil"/>
              <w:bottom w:val="nil"/>
              <w:right w:val="nil"/>
            </w:tcBorders>
            <w:shd w:val="clear" w:color="auto" w:fill="auto"/>
            <w:noWrap/>
            <w:vAlign w:val="bottom"/>
            <w:hideMark/>
          </w:tcPr>
          <w:p w14:paraId="59E27BF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11</w:t>
            </w:r>
          </w:p>
        </w:tc>
        <w:tc>
          <w:tcPr>
            <w:tcW w:w="1985" w:type="dxa"/>
            <w:tcBorders>
              <w:top w:val="nil"/>
              <w:left w:val="nil"/>
              <w:bottom w:val="nil"/>
              <w:right w:val="nil"/>
            </w:tcBorders>
            <w:shd w:val="clear" w:color="auto" w:fill="auto"/>
            <w:noWrap/>
            <w:vAlign w:val="bottom"/>
            <w:hideMark/>
          </w:tcPr>
          <w:p w14:paraId="59E27BF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850" w:type="dxa"/>
            <w:tcBorders>
              <w:top w:val="nil"/>
              <w:left w:val="nil"/>
              <w:bottom w:val="nil"/>
              <w:right w:val="nil"/>
            </w:tcBorders>
            <w:shd w:val="clear" w:color="auto" w:fill="auto"/>
            <w:noWrap/>
            <w:vAlign w:val="bottom"/>
            <w:hideMark/>
          </w:tcPr>
          <w:p w14:paraId="59E27BF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c>
          <w:tcPr>
            <w:tcW w:w="1134" w:type="dxa"/>
            <w:tcBorders>
              <w:top w:val="nil"/>
              <w:left w:val="nil"/>
              <w:bottom w:val="nil"/>
              <w:right w:val="nil"/>
            </w:tcBorders>
            <w:shd w:val="clear" w:color="auto" w:fill="auto"/>
            <w:noWrap/>
            <w:vAlign w:val="bottom"/>
            <w:hideMark/>
          </w:tcPr>
          <w:p w14:paraId="59E27BF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21</w:t>
            </w:r>
          </w:p>
        </w:tc>
      </w:tr>
      <w:tr w:rsidR="00581BC4" w:rsidRPr="00581BC4" w14:paraId="59E27BFF" w14:textId="77777777" w:rsidTr="00D03DA7">
        <w:trPr>
          <w:trHeight w:val="255"/>
        </w:trPr>
        <w:tc>
          <w:tcPr>
            <w:tcW w:w="3544" w:type="dxa"/>
            <w:tcBorders>
              <w:top w:val="nil"/>
              <w:left w:val="nil"/>
              <w:bottom w:val="nil"/>
              <w:right w:val="nil"/>
            </w:tcBorders>
            <w:shd w:val="clear" w:color="auto" w:fill="auto"/>
            <w:noWrap/>
            <w:vAlign w:val="bottom"/>
            <w:hideMark/>
          </w:tcPr>
          <w:p w14:paraId="59E27BFA"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 Vilkaviškio r. Gižų Kazimiero Baršausko mokykla-daugiafunkcis centras</w:t>
            </w:r>
          </w:p>
        </w:tc>
        <w:tc>
          <w:tcPr>
            <w:tcW w:w="2126" w:type="dxa"/>
            <w:tcBorders>
              <w:top w:val="nil"/>
              <w:left w:val="nil"/>
              <w:bottom w:val="nil"/>
              <w:right w:val="nil"/>
            </w:tcBorders>
            <w:shd w:val="clear" w:color="auto" w:fill="auto"/>
            <w:noWrap/>
            <w:vAlign w:val="bottom"/>
            <w:hideMark/>
          </w:tcPr>
          <w:p w14:paraId="59E27BF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5" w:type="dxa"/>
            <w:tcBorders>
              <w:top w:val="nil"/>
              <w:left w:val="nil"/>
              <w:bottom w:val="nil"/>
              <w:right w:val="nil"/>
            </w:tcBorders>
            <w:shd w:val="clear" w:color="auto" w:fill="auto"/>
            <w:noWrap/>
            <w:vAlign w:val="bottom"/>
            <w:hideMark/>
          </w:tcPr>
          <w:p w14:paraId="59E27BF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c>
          <w:tcPr>
            <w:tcW w:w="850" w:type="dxa"/>
            <w:tcBorders>
              <w:top w:val="nil"/>
              <w:left w:val="nil"/>
              <w:bottom w:val="nil"/>
              <w:right w:val="nil"/>
            </w:tcBorders>
            <w:shd w:val="clear" w:color="auto" w:fill="auto"/>
            <w:noWrap/>
            <w:vAlign w:val="bottom"/>
            <w:hideMark/>
          </w:tcPr>
          <w:p w14:paraId="59E27BF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BF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r>
      <w:tr w:rsidR="00581BC4" w:rsidRPr="00581BC4" w14:paraId="59E27C05" w14:textId="77777777" w:rsidTr="00D03DA7">
        <w:trPr>
          <w:trHeight w:val="255"/>
        </w:trPr>
        <w:tc>
          <w:tcPr>
            <w:tcW w:w="3544" w:type="dxa"/>
            <w:tcBorders>
              <w:top w:val="nil"/>
              <w:left w:val="nil"/>
              <w:bottom w:val="nil"/>
              <w:right w:val="nil"/>
            </w:tcBorders>
            <w:shd w:val="clear" w:color="auto" w:fill="auto"/>
            <w:noWrap/>
            <w:vAlign w:val="bottom"/>
            <w:hideMark/>
          </w:tcPr>
          <w:p w14:paraId="59E27C00"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 Vilkaviškio r. Gražiškių gimnazija</w:t>
            </w:r>
          </w:p>
        </w:tc>
        <w:tc>
          <w:tcPr>
            <w:tcW w:w="2126" w:type="dxa"/>
            <w:tcBorders>
              <w:top w:val="nil"/>
              <w:left w:val="nil"/>
              <w:bottom w:val="nil"/>
              <w:right w:val="nil"/>
            </w:tcBorders>
            <w:shd w:val="clear" w:color="auto" w:fill="auto"/>
            <w:noWrap/>
            <w:vAlign w:val="bottom"/>
            <w:hideMark/>
          </w:tcPr>
          <w:p w14:paraId="59E27C0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w:t>
            </w:r>
          </w:p>
        </w:tc>
        <w:tc>
          <w:tcPr>
            <w:tcW w:w="1985" w:type="dxa"/>
            <w:tcBorders>
              <w:top w:val="nil"/>
              <w:left w:val="nil"/>
              <w:bottom w:val="nil"/>
              <w:right w:val="nil"/>
            </w:tcBorders>
            <w:shd w:val="clear" w:color="auto" w:fill="auto"/>
            <w:noWrap/>
            <w:vAlign w:val="bottom"/>
            <w:hideMark/>
          </w:tcPr>
          <w:p w14:paraId="59E27C0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C0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c>
          <w:tcPr>
            <w:tcW w:w="1134" w:type="dxa"/>
            <w:tcBorders>
              <w:top w:val="nil"/>
              <w:left w:val="nil"/>
              <w:bottom w:val="nil"/>
              <w:right w:val="nil"/>
            </w:tcBorders>
            <w:shd w:val="clear" w:color="auto" w:fill="auto"/>
            <w:noWrap/>
            <w:vAlign w:val="bottom"/>
            <w:hideMark/>
          </w:tcPr>
          <w:p w14:paraId="59E27C0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18</w:t>
            </w:r>
          </w:p>
        </w:tc>
      </w:tr>
      <w:tr w:rsidR="00581BC4" w:rsidRPr="00581BC4" w14:paraId="59E27C0B" w14:textId="77777777" w:rsidTr="00D03DA7">
        <w:trPr>
          <w:trHeight w:val="255"/>
        </w:trPr>
        <w:tc>
          <w:tcPr>
            <w:tcW w:w="3544" w:type="dxa"/>
            <w:tcBorders>
              <w:top w:val="nil"/>
              <w:left w:val="nil"/>
              <w:bottom w:val="nil"/>
              <w:right w:val="nil"/>
            </w:tcBorders>
            <w:shd w:val="clear" w:color="auto" w:fill="auto"/>
            <w:noWrap/>
            <w:vAlign w:val="bottom"/>
            <w:hideMark/>
          </w:tcPr>
          <w:p w14:paraId="59E27C06"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Vilkaviškio r. Keturvalakių mokykla-daugiafunkcis centras</w:t>
            </w:r>
          </w:p>
        </w:tc>
        <w:tc>
          <w:tcPr>
            <w:tcW w:w="2126" w:type="dxa"/>
            <w:tcBorders>
              <w:top w:val="nil"/>
              <w:left w:val="nil"/>
              <w:bottom w:val="nil"/>
              <w:right w:val="nil"/>
            </w:tcBorders>
            <w:shd w:val="clear" w:color="auto" w:fill="auto"/>
            <w:noWrap/>
            <w:vAlign w:val="bottom"/>
            <w:hideMark/>
          </w:tcPr>
          <w:p w14:paraId="59E27C0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5" w:type="dxa"/>
            <w:tcBorders>
              <w:top w:val="nil"/>
              <w:left w:val="nil"/>
              <w:bottom w:val="nil"/>
              <w:right w:val="nil"/>
            </w:tcBorders>
            <w:shd w:val="clear" w:color="auto" w:fill="auto"/>
            <w:noWrap/>
            <w:vAlign w:val="bottom"/>
            <w:hideMark/>
          </w:tcPr>
          <w:p w14:paraId="59E27C0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850" w:type="dxa"/>
            <w:tcBorders>
              <w:top w:val="nil"/>
              <w:left w:val="nil"/>
              <w:bottom w:val="nil"/>
              <w:right w:val="nil"/>
            </w:tcBorders>
            <w:shd w:val="clear" w:color="auto" w:fill="auto"/>
            <w:noWrap/>
            <w:vAlign w:val="bottom"/>
            <w:hideMark/>
          </w:tcPr>
          <w:p w14:paraId="59E27C0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0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r>
      <w:tr w:rsidR="00581BC4" w:rsidRPr="00581BC4" w14:paraId="59E27C11" w14:textId="77777777" w:rsidTr="00D03DA7">
        <w:trPr>
          <w:trHeight w:val="255"/>
        </w:trPr>
        <w:tc>
          <w:tcPr>
            <w:tcW w:w="3544" w:type="dxa"/>
            <w:tcBorders>
              <w:top w:val="nil"/>
              <w:left w:val="nil"/>
              <w:bottom w:val="nil"/>
              <w:right w:val="nil"/>
            </w:tcBorders>
            <w:shd w:val="clear" w:color="auto" w:fill="auto"/>
            <w:noWrap/>
            <w:vAlign w:val="bottom"/>
            <w:hideMark/>
          </w:tcPr>
          <w:p w14:paraId="59E27C0C"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 Vilkaviškio r. Kybartų Kristijono Donelaičio gimnazija</w:t>
            </w:r>
          </w:p>
        </w:tc>
        <w:tc>
          <w:tcPr>
            <w:tcW w:w="2126" w:type="dxa"/>
            <w:tcBorders>
              <w:top w:val="nil"/>
              <w:left w:val="nil"/>
              <w:bottom w:val="nil"/>
              <w:right w:val="nil"/>
            </w:tcBorders>
            <w:shd w:val="clear" w:color="auto" w:fill="auto"/>
            <w:noWrap/>
            <w:vAlign w:val="bottom"/>
            <w:hideMark/>
          </w:tcPr>
          <w:p w14:paraId="59E27C0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49</w:t>
            </w:r>
          </w:p>
        </w:tc>
        <w:tc>
          <w:tcPr>
            <w:tcW w:w="1985" w:type="dxa"/>
            <w:tcBorders>
              <w:top w:val="nil"/>
              <w:left w:val="nil"/>
              <w:bottom w:val="nil"/>
              <w:right w:val="nil"/>
            </w:tcBorders>
            <w:shd w:val="clear" w:color="auto" w:fill="auto"/>
            <w:noWrap/>
            <w:vAlign w:val="bottom"/>
            <w:hideMark/>
          </w:tcPr>
          <w:p w14:paraId="59E27C0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0" w:type="dxa"/>
            <w:tcBorders>
              <w:top w:val="nil"/>
              <w:left w:val="nil"/>
              <w:bottom w:val="nil"/>
              <w:right w:val="nil"/>
            </w:tcBorders>
            <w:shd w:val="clear" w:color="auto" w:fill="auto"/>
            <w:noWrap/>
            <w:vAlign w:val="bottom"/>
            <w:hideMark/>
          </w:tcPr>
          <w:p w14:paraId="59E27C0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c>
          <w:tcPr>
            <w:tcW w:w="1134" w:type="dxa"/>
            <w:tcBorders>
              <w:top w:val="nil"/>
              <w:left w:val="nil"/>
              <w:bottom w:val="nil"/>
              <w:right w:val="nil"/>
            </w:tcBorders>
            <w:shd w:val="clear" w:color="auto" w:fill="auto"/>
            <w:noWrap/>
            <w:vAlign w:val="bottom"/>
            <w:hideMark/>
          </w:tcPr>
          <w:p w14:paraId="59E27C1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60</w:t>
            </w:r>
          </w:p>
        </w:tc>
      </w:tr>
      <w:tr w:rsidR="00581BC4" w:rsidRPr="00581BC4" w14:paraId="59E27C17" w14:textId="77777777" w:rsidTr="00D03DA7">
        <w:trPr>
          <w:trHeight w:val="255"/>
        </w:trPr>
        <w:tc>
          <w:tcPr>
            <w:tcW w:w="3544" w:type="dxa"/>
            <w:tcBorders>
              <w:top w:val="nil"/>
              <w:left w:val="nil"/>
              <w:bottom w:val="nil"/>
              <w:right w:val="nil"/>
            </w:tcBorders>
            <w:shd w:val="clear" w:color="auto" w:fill="auto"/>
            <w:noWrap/>
            <w:vAlign w:val="bottom"/>
            <w:hideMark/>
          </w:tcPr>
          <w:p w14:paraId="59E27C12"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 Vilkaviškio r. Kybartų suaugusiųjų mokykla</w:t>
            </w:r>
          </w:p>
        </w:tc>
        <w:tc>
          <w:tcPr>
            <w:tcW w:w="2126" w:type="dxa"/>
            <w:tcBorders>
              <w:top w:val="nil"/>
              <w:left w:val="nil"/>
              <w:bottom w:val="nil"/>
              <w:right w:val="nil"/>
            </w:tcBorders>
            <w:shd w:val="clear" w:color="auto" w:fill="auto"/>
            <w:noWrap/>
            <w:vAlign w:val="bottom"/>
            <w:hideMark/>
          </w:tcPr>
          <w:p w14:paraId="59E27C1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w:t>
            </w:r>
          </w:p>
        </w:tc>
        <w:tc>
          <w:tcPr>
            <w:tcW w:w="1985" w:type="dxa"/>
            <w:tcBorders>
              <w:top w:val="nil"/>
              <w:left w:val="nil"/>
              <w:bottom w:val="nil"/>
              <w:right w:val="nil"/>
            </w:tcBorders>
            <w:shd w:val="clear" w:color="auto" w:fill="auto"/>
            <w:noWrap/>
            <w:vAlign w:val="bottom"/>
            <w:hideMark/>
          </w:tcPr>
          <w:p w14:paraId="59E27C1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850" w:type="dxa"/>
            <w:tcBorders>
              <w:top w:val="nil"/>
              <w:left w:val="nil"/>
              <w:bottom w:val="nil"/>
              <w:right w:val="nil"/>
            </w:tcBorders>
            <w:shd w:val="clear" w:color="auto" w:fill="auto"/>
            <w:noWrap/>
            <w:vAlign w:val="bottom"/>
            <w:hideMark/>
          </w:tcPr>
          <w:p w14:paraId="59E27C1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1134" w:type="dxa"/>
            <w:tcBorders>
              <w:top w:val="nil"/>
              <w:left w:val="nil"/>
              <w:bottom w:val="nil"/>
              <w:right w:val="nil"/>
            </w:tcBorders>
            <w:shd w:val="clear" w:color="auto" w:fill="auto"/>
            <w:noWrap/>
            <w:vAlign w:val="bottom"/>
            <w:hideMark/>
          </w:tcPr>
          <w:p w14:paraId="59E27C1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w:t>
            </w:r>
          </w:p>
        </w:tc>
      </w:tr>
      <w:tr w:rsidR="00581BC4" w:rsidRPr="00581BC4" w14:paraId="59E27C1D" w14:textId="77777777" w:rsidTr="00D03DA7">
        <w:trPr>
          <w:trHeight w:val="255"/>
        </w:trPr>
        <w:tc>
          <w:tcPr>
            <w:tcW w:w="3544" w:type="dxa"/>
            <w:tcBorders>
              <w:top w:val="nil"/>
              <w:left w:val="nil"/>
              <w:bottom w:val="nil"/>
              <w:right w:val="nil"/>
            </w:tcBorders>
            <w:shd w:val="clear" w:color="auto" w:fill="auto"/>
            <w:noWrap/>
            <w:vAlign w:val="bottom"/>
            <w:hideMark/>
          </w:tcPr>
          <w:p w14:paraId="59E27C18"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 Vilkaviškio r. Pilviškių „Santakos“ gimnazija</w:t>
            </w:r>
          </w:p>
        </w:tc>
        <w:tc>
          <w:tcPr>
            <w:tcW w:w="2126" w:type="dxa"/>
            <w:tcBorders>
              <w:top w:val="nil"/>
              <w:left w:val="nil"/>
              <w:bottom w:val="nil"/>
              <w:right w:val="nil"/>
            </w:tcBorders>
            <w:shd w:val="clear" w:color="auto" w:fill="auto"/>
            <w:noWrap/>
            <w:vAlign w:val="bottom"/>
            <w:hideMark/>
          </w:tcPr>
          <w:p w14:paraId="59E27C1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20</w:t>
            </w:r>
          </w:p>
        </w:tc>
        <w:tc>
          <w:tcPr>
            <w:tcW w:w="1985" w:type="dxa"/>
            <w:tcBorders>
              <w:top w:val="nil"/>
              <w:left w:val="nil"/>
              <w:bottom w:val="nil"/>
              <w:right w:val="nil"/>
            </w:tcBorders>
            <w:shd w:val="clear" w:color="auto" w:fill="auto"/>
            <w:noWrap/>
            <w:vAlign w:val="bottom"/>
            <w:hideMark/>
          </w:tcPr>
          <w:p w14:paraId="59E27C1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c>
          <w:tcPr>
            <w:tcW w:w="850" w:type="dxa"/>
            <w:tcBorders>
              <w:top w:val="nil"/>
              <w:left w:val="nil"/>
              <w:bottom w:val="nil"/>
              <w:right w:val="nil"/>
            </w:tcBorders>
            <w:shd w:val="clear" w:color="auto" w:fill="auto"/>
            <w:noWrap/>
            <w:vAlign w:val="bottom"/>
            <w:hideMark/>
          </w:tcPr>
          <w:p w14:paraId="59E27C1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c>
          <w:tcPr>
            <w:tcW w:w="1134" w:type="dxa"/>
            <w:tcBorders>
              <w:top w:val="nil"/>
              <w:left w:val="nil"/>
              <w:bottom w:val="nil"/>
              <w:right w:val="nil"/>
            </w:tcBorders>
            <w:shd w:val="clear" w:color="auto" w:fill="auto"/>
            <w:noWrap/>
            <w:vAlign w:val="bottom"/>
            <w:hideMark/>
          </w:tcPr>
          <w:p w14:paraId="59E27C1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32</w:t>
            </w:r>
          </w:p>
        </w:tc>
      </w:tr>
      <w:tr w:rsidR="00581BC4" w:rsidRPr="00581BC4" w14:paraId="59E27C23" w14:textId="77777777" w:rsidTr="00D03DA7">
        <w:trPr>
          <w:trHeight w:val="255"/>
        </w:trPr>
        <w:tc>
          <w:tcPr>
            <w:tcW w:w="3544" w:type="dxa"/>
            <w:tcBorders>
              <w:top w:val="nil"/>
              <w:left w:val="nil"/>
              <w:bottom w:val="nil"/>
              <w:right w:val="nil"/>
            </w:tcBorders>
            <w:shd w:val="clear" w:color="auto" w:fill="auto"/>
            <w:noWrap/>
            <w:vAlign w:val="bottom"/>
            <w:hideMark/>
          </w:tcPr>
          <w:p w14:paraId="59E27C1E"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 xml:space="preserve">10. Vilkaviškio r. </w:t>
            </w:r>
            <w:proofErr w:type="spellStart"/>
            <w:r w:rsidRPr="00581BC4">
              <w:rPr>
                <w:rFonts w:ascii="Times New Roman" w:eastAsia="Times New Roman" w:hAnsi="Times New Roman" w:cs="Times New Roman"/>
                <w:color w:val="000000"/>
                <w:sz w:val="24"/>
                <w:szCs w:val="24"/>
                <w:lang w:eastAsia="lt-LT"/>
              </w:rPr>
              <w:t>Sūdavos</w:t>
            </w:r>
            <w:proofErr w:type="spellEnd"/>
            <w:r w:rsidRPr="00581BC4">
              <w:rPr>
                <w:rFonts w:ascii="Times New Roman" w:eastAsia="Times New Roman" w:hAnsi="Times New Roman" w:cs="Times New Roman"/>
                <w:color w:val="000000"/>
                <w:sz w:val="24"/>
                <w:szCs w:val="24"/>
                <w:lang w:eastAsia="lt-LT"/>
              </w:rPr>
              <w:t xml:space="preserve"> pagrindinė mokykla</w:t>
            </w:r>
          </w:p>
        </w:tc>
        <w:tc>
          <w:tcPr>
            <w:tcW w:w="2126" w:type="dxa"/>
            <w:tcBorders>
              <w:top w:val="nil"/>
              <w:left w:val="nil"/>
              <w:bottom w:val="nil"/>
              <w:right w:val="nil"/>
            </w:tcBorders>
            <w:shd w:val="clear" w:color="auto" w:fill="auto"/>
            <w:noWrap/>
            <w:vAlign w:val="bottom"/>
            <w:hideMark/>
          </w:tcPr>
          <w:p w14:paraId="59E27C1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5" w:type="dxa"/>
            <w:tcBorders>
              <w:top w:val="nil"/>
              <w:left w:val="nil"/>
              <w:bottom w:val="nil"/>
              <w:right w:val="nil"/>
            </w:tcBorders>
            <w:shd w:val="clear" w:color="auto" w:fill="auto"/>
            <w:noWrap/>
            <w:vAlign w:val="bottom"/>
            <w:hideMark/>
          </w:tcPr>
          <w:p w14:paraId="59E27C2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850" w:type="dxa"/>
            <w:tcBorders>
              <w:top w:val="nil"/>
              <w:left w:val="nil"/>
              <w:bottom w:val="nil"/>
              <w:right w:val="nil"/>
            </w:tcBorders>
            <w:shd w:val="clear" w:color="auto" w:fill="auto"/>
            <w:noWrap/>
            <w:vAlign w:val="bottom"/>
            <w:hideMark/>
          </w:tcPr>
          <w:p w14:paraId="59E27C2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2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r>
      <w:tr w:rsidR="00581BC4" w:rsidRPr="00581BC4" w14:paraId="59E27C29" w14:textId="77777777" w:rsidTr="00D03DA7">
        <w:trPr>
          <w:trHeight w:val="255"/>
        </w:trPr>
        <w:tc>
          <w:tcPr>
            <w:tcW w:w="3544" w:type="dxa"/>
            <w:tcBorders>
              <w:top w:val="nil"/>
              <w:left w:val="nil"/>
              <w:bottom w:val="nil"/>
              <w:right w:val="nil"/>
            </w:tcBorders>
            <w:shd w:val="clear" w:color="auto" w:fill="auto"/>
            <w:noWrap/>
            <w:vAlign w:val="bottom"/>
            <w:hideMark/>
          </w:tcPr>
          <w:p w14:paraId="59E27C24"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11. Vilkaviškio r. Virbalio pagrindinė mokykla</w:t>
            </w:r>
          </w:p>
        </w:tc>
        <w:tc>
          <w:tcPr>
            <w:tcW w:w="2126" w:type="dxa"/>
            <w:tcBorders>
              <w:top w:val="nil"/>
              <w:left w:val="nil"/>
              <w:bottom w:val="nil"/>
              <w:right w:val="nil"/>
            </w:tcBorders>
            <w:shd w:val="clear" w:color="auto" w:fill="auto"/>
            <w:noWrap/>
            <w:vAlign w:val="bottom"/>
            <w:hideMark/>
          </w:tcPr>
          <w:p w14:paraId="59E27C2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w:t>
            </w:r>
          </w:p>
        </w:tc>
        <w:tc>
          <w:tcPr>
            <w:tcW w:w="1985" w:type="dxa"/>
            <w:tcBorders>
              <w:top w:val="nil"/>
              <w:left w:val="nil"/>
              <w:bottom w:val="nil"/>
              <w:right w:val="nil"/>
            </w:tcBorders>
            <w:shd w:val="clear" w:color="auto" w:fill="auto"/>
            <w:noWrap/>
            <w:vAlign w:val="bottom"/>
            <w:hideMark/>
          </w:tcPr>
          <w:p w14:paraId="59E27C2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850" w:type="dxa"/>
            <w:tcBorders>
              <w:top w:val="nil"/>
              <w:left w:val="nil"/>
              <w:bottom w:val="nil"/>
              <w:right w:val="nil"/>
            </w:tcBorders>
            <w:shd w:val="clear" w:color="auto" w:fill="auto"/>
            <w:noWrap/>
            <w:vAlign w:val="bottom"/>
            <w:hideMark/>
          </w:tcPr>
          <w:p w14:paraId="59E27C2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2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17</w:t>
            </w:r>
          </w:p>
        </w:tc>
      </w:tr>
      <w:tr w:rsidR="00581BC4" w:rsidRPr="00581BC4" w14:paraId="59E27C2F" w14:textId="77777777" w:rsidTr="00D03DA7">
        <w:trPr>
          <w:trHeight w:val="255"/>
        </w:trPr>
        <w:tc>
          <w:tcPr>
            <w:tcW w:w="3544" w:type="dxa"/>
            <w:tcBorders>
              <w:top w:val="nil"/>
              <w:left w:val="nil"/>
              <w:bottom w:val="nil"/>
              <w:right w:val="nil"/>
            </w:tcBorders>
            <w:shd w:val="clear" w:color="auto" w:fill="auto"/>
            <w:noWrap/>
            <w:vAlign w:val="bottom"/>
            <w:hideMark/>
          </w:tcPr>
          <w:p w14:paraId="59E27C2A"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12. Vilkaviškio r. Žaliosios Vinco Žemaičio pagrindinė mokykla</w:t>
            </w:r>
          </w:p>
        </w:tc>
        <w:tc>
          <w:tcPr>
            <w:tcW w:w="2126" w:type="dxa"/>
            <w:tcBorders>
              <w:top w:val="nil"/>
              <w:left w:val="nil"/>
              <w:bottom w:val="nil"/>
              <w:right w:val="nil"/>
            </w:tcBorders>
            <w:shd w:val="clear" w:color="auto" w:fill="auto"/>
            <w:noWrap/>
            <w:vAlign w:val="bottom"/>
            <w:hideMark/>
          </w:tcPr>
          <w:p w14:paraId="59E27C2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1985" w:type="dxa"/>
            <w:tcBorders>
              <w:top w:val="nil"/>
              <w:left w:val="nil"/>
              <w:bottom w:val="nil"/>
              <w:right w:val="nil"/>
            </w:tcBorders>
            <w:shd w:val="clear" w:color="auto" w:fill="auto"/>
            <w:noWrap/>
            <w:vAlign w:val="bottom"/>
            <w:hideMark/>
          </w:tcPr>
          <w:p w14:paraId="59E27C2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850" w:type="dxa"/>
            <w:tcBorders>
              <w:top w:val="nil"/>
              <w:left w:val="nil"/>
              <w:bottom w:val="nil"/>
              <w:right w:val="nil"/>
            </w:tcBorders>
            <w:shd w:val="clear" w:color="auto" w:fill="auto"/>
            <w:noWrap/>
            <w:vAlign w:val="bottom"/>
            <w:hideMark/>
          </w:tcPr>
          <w:p w14:paraId="59E27C2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2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r>
      <w:tr w:rsidR="00581BC4" w:rsidRPr="00581BC4" w14:paraId="59E27C35" w14:textId="77777777" w:rsidTr="00D03DA7">
        <w:trPr>
          <w:trHeight w:val="255"/>
        </w:trPr>
        <w:tc>
          <w:tcPr>
            <w:tcW w:w="3544" w:type="dxa"/>
            <w:tcBorders>
              <w:top w:val="nil"/>
              <w:left w:val="nil"/>
              <w:bottom w:val="nil"/>
              <w:right w:val="nil"/>
            </w:tcBorders>
            <w:shd w:val="clear" w:color="auto" w:fill="auto"/>
            <w:noWrap/>
            <w:vAlign w:val="bottom"/>
            <w:hideMark/>
          </w:tcPr>
          <w:p w14:paraId="59E27C30"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 Vilkaviškio rajono Pajevonio pagrindinė mokykla</w:t>
            </w:r>
          </w:p>
        </w:tc>
        <w:tc>
          <w:tcPr>
            <w:tcW w:w="2126" w:type="dxa"/>
            <w:tcBorders>
              <w:top w:val="nil"/>
              <w:left w:val="nil"/>
              <w:bottom w:val="nil"/>
              <w:right w:val="nil"/>
            </w:tcBorders>
            <w:shd w:val="clear" w:color="auto" w:fill="auto"/>
            <w:noWrap/>
            <w:vAlign w:val="bottom"/>
            <w:hideMark/>
          </w:tcPr>
          <w:p w14:paraId="59E27C3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5" w:type="dxa"/>
            <w:tcBorders>
              <w:top w:val="nil"/>
              <w:left w:val="nil"/>
              <w:bottom w:val="nil"/>
              <w:right w:val="nil"/>
            </w:tcBorders>
            <w:shd w:val="clear" w:color="auto" w:fill="auto"/>
            <w:noWrap/>
            <w:vAlign w:val="bottom"/>
            <w:hideMark/>
          </w:tcPr>
          <w:p w14:paraId="59E27C3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850" w:type="dxa"/>
            <w:tcBorders>
              <w:top w:val="nil"/>
              <w:left w:val="nil"/>
              <w:bottom w:val="nil"/>
              <w:right w:val="nil"/>
            </w:tcBorders>
            <w:shd w:val="clear" w:color="auto" w:fill="auto"/>
            <w:noWrap/>
            <w:vAlign w:val="bottom"/>
            <w:hideMark/>
          </w:tcPr>
          <w:p w14:paraId="59E27C3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3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r>
      <w:tr w:rsidR="00581BC4" w:rsidRPr="00581BC4" w14:paraId="59E27C3B" w14:textId="77777777" w:rsidTr="00D03DA7">
        <w:trPr>
          <w:trHeight w:val="255"/>
        </w:trPr>
        <w:tc>
          <w:tcPr>
            <w:tcW w:w="3544" w:type="dxa"/>
            <w:tcBorders>
              <w:top w:val="nil"/>
              <w:left w:val="nil"/>
              <w:bottom w:val="nil"/>
              <w:right w:val="nil"/>
            </w:tcBorders>
            <w:shd w:val="clear" w:color="auto" w:fill="auto"/>
            <w:noWrap/>
            <w:vAlign w:val="bottom"/>
            <w:hideMark/>
          </w:tcPr>
          <w:p w14:paraId="59E27C36"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 Vilkaviškio Salomėjos Nėries pagrindinė mokykla</w:t>
            </w:r>
          </w:p>
        </w:tc>
        <w:tc>
          <w:tcPr>
            <w:tcW w:w="2126" w:type="dxa"/>
            <w:tcBorders>
              <w:top w:val="nil"/>
              <w:left w:val="nil"/>
              <w:bottom w:val="nil"/>
              <w:right w:val="nil"/>
            </w:tcBorders>
            <w:shd w:val="clear" w:color="auto" w:fill="auto"/>
            <w:noWrap/>
            <w:vAlign w:val="bottom"/>
            <w:hideMark/>
          </w:tcPr>
          <w:p w14:paraId="59E27C3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985" w:type="dxa"/>
            <w:tcBorders>
              <w:top w:val="nil"/>
              <w:left w:val="nil"/>
              <w:bottom w:val="nil"/>
              <w:right w:val="nil"/>
            </w:tcBorders>
            <w:shd w:val="clear" w:color="auto" w:fill="auto"/>
            <w:noWrap/>
            <w:vAlign w:val="bottom"/>
            <w:hideMark/>
          </w:tcPr>
          <w:p w14:paraId="59E27C3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w:t>
            </w:r>
          </w:p>
        </w:tc>
        <w:tc>
          <w:tcPr>
            <w:tcW w:w="850" w:type="dxa"/>
            <w:tcBorders>
              <w:top w:val="nil"/>
              <w:left w:val="nil"/>
              <w:bottom w:val="nil"/>
              <w:right w:val="nil"/>
            </w:tcBorders>
            <w:shd w:val="clear" w:color="auto" w:fill="auto"/>
            <w:noWrap/>
            <w:vAlign w:val="bottom"/>
            <w:hideMark/>
          </w:tcPr>
          <w:p w14:paraId="59E27C3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3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w:t>
            </w:r>
          </w:p>
        </w:tc>
      </w:tr>
      <w:tr w:rsidR="00581BC4" w:rsidRPr="00581BC4" w14:paraId="59E27C41" w14:textId="77777777" w:rsidTr="00D03DA7">
        <w:trPr>
          <w:trHeight w:val="255"/>
        </w:trPr>
        <w:tc>
          <w:tcPr>
            <w:tcW w:w="3544" w:type="dxa"/>
            <w:tcBorders>
              <w:top w:val="single" w:sz="4" w:space="0" w:color="95B3D7"/>
              <w:left w:val="nil"/>
              <w:bottom w:val="nil"/>
              <w:right w:val="nil"/>
            </w:tcBorders>
            <w:shd w:val="clear" w:color="DCE6F1" w:fill="DCE6F1"/>
            <w:noWrap/>
            <w:vAlign w:val="bottom"/>
            <w:hideMark/>
          </w:tcPr>
          <w:p w14:paraId="59E27C3C" w14:textId="77777777" w:rsidR="00581BC4" w:rsidRPr="00D431D4" w:rsidRDefault="00581BC4" w:rsidP="00581BC4">
            <w:pPr>
              <w:spacing w:after="0" w:line="240" w:lineRule="auto"/>
              <w:rPr>
                <w:rFonts w:ascii="Times New Roman" w:eastAsia="Times New Roman" w:hAnsi="Times New Roman" w:cs="Times New Roman"/>
                <w:b/>
                <w:color w:val="000000"/>
                <w:sz w:val="24"/>
                <w:szCs w:val="24"/>
                <w:lang w:eastAsia="lt-LT"/>
              </w:rPr>
            </w:pPr>
            <w:r w:rsidRPr="00D431D4">
              <w:rPr>
                <w:rFonts w:ascii="Times New Roman" w:eastAsia="Times New Roman" w:hAnsi="Times New Roman" w:cs="Times New Roman"/>
                <w:b/>
                <w:color w:val="000000"/>
                <w:sz w:val="24"/>
                <w:szCs w:val="24"/>
                <w:lang w:eastAsia="lt-LT"/>
              </w:rPr>
              <w:t>Bendroji suma</w:t>
            </w:r>
          </w:p>
        </w:tc>
        <w:tc>
          <w:tcPr>
            <w:tcW w:w="2126" w:type="dxa"/>
            <w:tcBorders>
              <w:top w:val="single" w:sz="4" w:space="0" w:color="95B3D7"/>
              <w:left w:val="nil"/>
              <w:bottom w:val="nil"/>
              <w:right w:val="nil"/>
            </w:tcBorders>
            <w:shd w:val="clear" w:color="DCE6F1" w:fill="DCE6F1"/>
            <w:noWrap/>
            <w:vAlign w:val="bottom"/>
            <w:hideMark/>
          </w:tcPr>
          <w:p w14:paraId="59E27C3D" w14:textId="77777777" w:rsidR="00581BC4" w:rsidRPr="00D431D4" w:rsidRDefault="00581BC4" w:rsidP="00581BC4">
            <w:pPr>
              <w:spacing w:after="0" w:line="240" w:lineRule="auto"/>
              <w:jc w:val="center"/>
              <w:rPr>
                <w:rFonts w:ascii="Times New Roman" w:eastAsia="Times New Roman" w:hAnsi="Times New Roman" w:cs="Times New Roman"/>
                <w:b/>
                <w:color w:val="000000"/>
                <w:sz w:val="24"/>
                <w:szCs w:val="24"/>
                <w:lang w:eastAsia="lt-LT"/>
              </w:rPr>
            </w:pPr>
            <w:r w:rsidRPr="00D431D4">
              <w:rPr>
                <w:rFonts w:ascii="Times New Roman" w:eastAsia="Times New Roman" w:hAnsi="Times New Roman" w:cs="Times New Roman"/>
                <w:b/>
                <w:color w:val="000000"/>
                <w:sz w:val="24"/>
                <w:szCs w:val="24"/>
                <w:lang w:eastAsia="lt-LT"/>
              </w:rPr>
              <w:t>266</w:t>
            </w:r>
          </w:p>
        </w:tc>
        <w:tc>
          <w:tcPr>
            <w:tcW w:w="1985" w:type="dxa"/>
            <w:tcBorders>
              <w:top w:val="single" w:sz="4" w:space="0" w:color="95B3D7"/>
              <w:left w:val="nil"/>
              <w:bottom w:val="nil"/>
              <w:right w:val="nil"/>
            </w:tcBorders>
            <w:shd w:val="clear" w:color="DCE6F1" w:fill="DCE6F1"/>
            <w:noWrap/>
            <w:vAlign w:val="bottom"/>
            <w:hideMark/>
          </w:tcPr>
          <w:p w14:paraId="59E27C3E" w14:textId="77777777" w:rsidR="00581BC4" w:rsidRPr="00D431D4" w:rsidRDefault="00581BC4" w:rsidP="00581BC4">
            <w:pPr>
              <w:spacing w:after="0" w:line="240" w:lineRule="auto"/>
              <w:jc w:val="center"/>
              <w:rPr>
                <w:rFonts w:ascii="Times New Roman" w:eastAsia="Times New Roman" w:hAnsi="Times New Roman" w:cs="Times New Roman"/>
                <w:b/>
                <w:color w:val="000000"/>
                <w:sz w:val="24"/>
                <w:szCs w:val="24"/>
                <w:lang w:eastAsia="lt-LT"/>
              </w:rPr>
            </w:pPr>
            <w:r w:rsidRPr="00D431D4">
              <w:rPr>
                <w:rFonts w:ascii="Times New Roman" w:eastAsia="Times New Roman" w:hAnsi="Times New Roman" w:cs="Times New Roman"/>
                <w:b/>
                <w:color w:val="000000"/>
                <w:sz w:val="24"/>
                <w:szCs w:val="24"/>
                <w:lang w:eastAsia="lt-LT"/>
              </w:rPr>
              <w:t>59</w:t>
            </w:r>
          </w:p>
        </w:tc>
        <w:tc>
          <w:tcPr>
            <w:tcW w:w="850" w:type="dxa"/>
            <w:tcBorders>
              <w:top w:val="single" w:sz="4" w:space="0" w:color="95B3D7"/>
              <w:left w:val="nil"/>
              <w:bottom w:val="nil"/>
              <w:right w:val="nil"/>
            </w:tcBorders>
            <w:shd w:val="clear" w:color="DCE6F1" w:fill="DCE6F1"/>
            <w:noWrap/>
            <w:vAlign w:val="bottom"/>
            <w:hideMark/>
          </w:tcPr>
          <w:p w14:paraId="59E27C3F" w14:textId="77777777" w:rsidR="00581BC4" w:rsidRPr="00D431D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D431D4">
              <w:rPr>
                <w:rFonts w:ascii="Times New Roman" w:eastAsia="Times New Roman" w:hAnsi="Times New Roman" w:cs="Times New Roman"/>
                <w:b/>
                <w:bCs/>
                <w:color w:val="000000"/>
                <w:sz w:val="24"/>
                <w:szCs w:val="24"/>
                <w:lang w:eastAsia="lt-LT"/>
              </w:rPr>
              <w:t>52</w:t>
            </w:r>
          </w:p>
        </w:tc>
        <w:tc>
          <w:tcPr>
            <w:tcW w:w="1134" w:type="dxa"/>
            <w:tcBorders>
              <w:top w:val="single" w:sz="4" w:space="0" w:color="95B3D7"/>
              <w:left w:val="nil"/>
              <w:bottom w:val="nil"/>
              <w:right w:val="nil"/>
            </w:tcBorders>
            <w:shd w:val="clear" w:color="DCE6F1" w:fill="DCE6F1"/>
            <w:noWrap/>
            <w:vAlign w:val="bottom"/>
            <w:hideMark/>
          </w:tcPr>
          <w:p w14:paraId="59E27C40" w14:textId="77777777" w:rsidR="00581BC4" w:rsidRPr="00D431D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D431D4">
              <w:rPr>
                <w:rFonts w:ascii="Times New Roman" w:eastAsia="Times New Roman" w:hAnsi="Times New Roman" w:cs="Times New Roman"/>
                <w:b/>
                <w:bCs/>
                <w:color w:val="000000"/>
                <w:sz w:val="24"/>
                <w:szCs w:val="24"/>
                <w:lang w:eastAsia="lt-LT"/>
              </w:rPr>
              <w:t>377</w:t>
            </w:r>
          </w:p>
        </w:tc>
      </w:tr>
    </w:tbl>
    <w:p w14:paraId="59E27C42" w14:textId="77777777" w:rsidR="00581BC4" w:rsidRPr="00581BC4" w:rsidRDefault="00581BC4" w:rsidP="00581BC4">
      <w:pPr>
        <w:ind w:left="-426"/>
        <w:rPr>
          <w:b/>
        </w:rPr>
      </w:pPr>
    </w:p>
    <w:p w14:paraId="59E27C43" w14:textId="77777777" w:rsidR="00581BC4" w:rsidRPr="00625CDF" w:rsidRDefault="00581BC4" w:rsidP="00581BC4">
      <w:pPr>
        <w:spacing w:after="0" w:line="240" w:lineRule="auto"/>
        <w:ind w:left="-425"/>
        <w:rPr>
          <w:rFonts w:ascii="Times New Roman" w:hAnsi="Times New Roman" w:cs="Times New Roman"/>
          <w:bCs/>
          <w:i/>
          <w:iCs/>
          <w:sz w:val="24"/>
          <w:szCs w:val="24"/>
        </w:rPr>
      </w:pPr>
      <w:r w:rsidRPr="00581BC4">
        <w:rPr>
          <w:rFonts w:ascii="Times New Roman" w:hAnsi="Times New Roman" w:cs="Times New Roman"/>
          <w:b/>
          <w:sz w:val="24"/>
          <w:szCs w:val="24"/>
        </w:rPr>
        <w:tab/>
      </w:r>
      <w:r w:rsidRPr="00625CDF">
        <w:rPr>
          <w:rFonts w:ascii="Times New Roman" w:hAnsi="Times New Roman" w:cs="Times New Roman"/>
          <w:bCs/>
          <w:i/>
          <w:iCs/>
          <w:sz w:val="24"/>
          <w:szCs w:val="24"/>
        </w:rPr>
        <w:t>Kaip tęsė mokslą pagrindinio ugdymo programą 2021 m. baigę savivaldybės mokyklų</w:t>
      </w:r>
      <w:r w:rsidR="00D42386" w:rsidRPr="00625CDF">
        <w:rPr>
          <w:rFonts w:ascii="Times New Roman" w:hAnsi="Times New Roman" w:cs="Times New Roman"/>
          <w:bCs/>
          <w:i/>
          <w:iCs/>
          <w:sz w:val="24"/>
          <w:szCs w:val="24"/>
        </w:rPr>
        <w:t xml:space="preserve"> </w:t>
      </w:r>
      <w:r w:rsidRPr="00625CDF">
        <w:rPr>
          <w:rFonts w:ascii="Times New Roman" w:hAnsi="Times New Roman" w:cs="Times New Roman"/>
          <w:bCs/>
          <w:i/>
          <w:iCs/>
          <w:sz w:val="24"/>
          <w:szCs w:val="24"/>
        </w:rPr>
        <w:t>mokiniai</w:t>
      </w:r>
      <w:r w:rsidR="00D42386" w:rsidRPr="00625CDF">
        <w:rPr>
          <w:rFonts w:ascii="Times New Roman" w:hAnsi="Times New Roman" w:cs="Times New Roman"/>
          <w:bCs/>
          <w:i/>
          <w:iCs/>
          <w:sz w:val="24"/>
          <w:szCs w:val="24"/>
        </w:rPr>
        <w:t>:</w:t>
      </w:r>
    </w:p>
    <w:tbl>
      <w:tblPr>
        <w:tblW w:w="9497" w:type="dxa"/>
        <w:tblInd w:w="142" w:type="dxa"/>
        <w:tblLook w:val="04A0" w:firstRow="1" w:lastRow="0" w:firstColumn="1" w:lastColumn="0" w:noHBand="0" w:noVBand="1"/>
      </w:tblPr>
      <w:tblGrid>
        <w:gridCol w:w="3260"/>
        <w:gridCol w:w="2127"/>
        <w:gridCol w:w="1984"/>
        <w:gridCol w:w="992"/>
        <w:gridCol w:w="1134"/>
      </w:tblGrid>
      <w:tr w:rsidR="00581BC4" w:rsidRPr="00581BC4" w14:paraId="59E27C49" w14:textId="77777777" w:rsidTr="00D42386">
        <w:trPr>
          <w:trHeight w:val="961"/>
        </w:trPr>
        <w:tc>
          <w:tcPr>
            <w:tcW w:w="3260" w:type="dxa"/>
            <w:tcBorders>
              <w:top w:val="nil"/>
              <w:left w:val="nil"/>
              <w:right w:val="nil"/>
            </w:tcBorders>
            <w:shd w:val="clear" w:color="DCE6F1" w:fill="DCE6F1"/>
            <w:noWrap/>
          </w:tcPr>
          <w:p w14:paraId="59E27C44"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Mokykla</w:t>
            </w:r>
          </w:p>
        </w:tc>
        <w:tc>
          <w:tcPr>
            <w:tcW w:w="2127" w:type="dxa"/>
            <w:tcBorders>
              <w:top w:val="nil"/>
              <w:left w:val="nil"/>
              <w:right w:val="nil"/>
            </w:tcBorders>
            <w:shd w:val="clear" w:color="DCE6F1" w:fill="DCE6F1"/>
            <w:noWrap/>
            <w:hideMark/>
          </w:tcPr>
          <w:p w14:paraId="59E27C45"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bendrojo ugdymo mokykloje</w:t>
            </w:r>
          </w:p>
        </w:tc>
        <w:tc>
          <w:tcPr>
            <w:tcW w:w="1984" w:type="dxa"/>
            <w:tcBorders>
              <w:top w:val="nil"/>
              <w:left w:val="nil"/>
              <w:right w:val="nil"/>
            </w:tcBorders>
            <w:shd w:val="clear" w:color="DCE6F1" w:fill="DCE6F1"/>
            <w:noWrap/>
            <w:hideMark/>
          </w:tcPr>
          <w:p w14:paraId="59E27C46"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Mokiniai, tęsiantys mokslą po 10 klasės profesinėje mokykloje</w:t>
            </w:r>
          </w:p>
        </w:tc>
        <w:tc>
          <w:tcPr>
            <w:tcW w:w="992" w:type="dxa"/>
            <w:tcBorders>
              <w:top w:val="nil"/>
              <w:left w:val="nil"/>
              <w:right w:val="nil"/>
            </w:tcBorders>
            <w:shd w:val="clear" w:color="DCE6F1" w:fill="DCE6F1"/>
            <w:noWrap/>
            <w:hideMark/>
          </w:tcPr>
          <w:p w14:paraId="59E27C47" w14:textId="77777777" w:rsidR="00581BC4" w:rsidRPr="00581BC4" w:rsidRDefault="00581BC4" w:rsidP="00581BC4">
            <w:pPr>
              <w:spacing w:after="0" w:line="240" w:lineRule="auto"/>
              <w:rPr>
                <w:rFonts w:ascii="Times New Roman" w:eastAsia="Times New Roman" w:hAnsi="Times New Roman" w:cs="Times New Roman"/>
                <w:sz w:val="24"/>
                <w:szCs w:val="24"/>
                <w:lang w:eastAsia="lt-LT"/>
              </w:rPr>
            </w:pPr>
            <w:r w:rsidRPr="00581BC4">
              <w:rPr>
                <w:rFonts w:ascii="Times New Roman" w:eastAsia="Times New Roman" w:hAnsi="Times New Roman" w:cs="Times New Roman"/>
                <w:b/>
                <w:bCs/>
                <w:color w:val="000000"/>
                <w:sz w:val="24"/>
                <w:szCs w:val="24"/>
                <w:lang w:eastAsia="lt-LT"/>
              </w:rPr>
              <w:t>Kita veikla</w:t>
            </w:r>
          </w:p>
        </w:tc>
        <w:tc>
          <w:tcPr>
            <w:tcW w:w="1134" w:type="dxa"/>
            <w:tcBorders>
              <w:top w:val="nil"/>
              <w:left w:val="nil"/>
              <w:right w:val="nil"/>
            </w:tcBorders>
            <w:shd w:val="clear" w:color="DCE6F1" w:fill="DCE6F1"/>
            <w:noWrap/>
            <w:hideMark/>
          </w:tcPr>
          <w:p w14:paraId="59E27C48" w14:textId="77777777" w:rsidR="00581BC4" w:rsidRPr="00581BC4" w:rsidRDefault="00581BC4" w:rsidP="00581BC4">
            <w:pPr>
              <w:spacing w:after="0" w:line="240" w:lineRule="auto"/>
              <w:rPr>
                <w:rFonts w:ascii="Times New Roman" w:eastAsia="Times New Roman" w:hAnsi="Times New Roman" w:cs="Times New Roman"/>
                <w:sz w:val="24"/>
                <w:szCs w:val="24"/>
                <w:lang w:eastAsia="lt-LT"/>
              </w:rPr>
            </w:pPr>
            <w:r w:rsidRPr="00581BC4">
              <w:rPr>
                <w:rFonts w:ascii="Times New Roman" w:eastAsia="Times New Roman" w:hAnsi="Times New Roman" w:cs="Times New Roman"/>
                <w:b/>
                <w:bCs/>
                <w:color w:val="000000"/>
                <w:sz w:val="24"/>
                <w:szCs w:val="24"/>
                <w:lang w:eastAsia="lt-LT"/>
              </w:rPr>
              <w:t>Iš viso</w:t>
            </w:r>
          </w:p>
        </w:tc>
      </w:tr>
      <w:tr w:rsidR="00581BC4" w:rsidRPr="00581BC4" w14:paraId="59E27C4F" w14:textId="77777777" w:rsidTr="00D42386">
        <w:trPr>
          <w:trHeight w:val="255"/>
        </w:trPr>
        <w:tc>
          <w:tcPr>
            <w:tcW w:w="3260" w:type="dxa"/>
            <w:tcBorders>
              <w:top w:val="nil"/>
              <w:left w:val="nil"/>
              <w:bottom w:val="nil"/>
              <w:right w:val="nil"/>
            </w:tcBorders>
            <w:shd w:val="clear" w:color="auto" w:fill="auto"/>
            <w:noWrap/>
            <w:vAlign w:val="bottom"/>
            <w:hideMark/>
          </w:tcPr>
          <w:p w14:paraId="59E27C4A" w14:textId="77777777" w:rsidR="00581BC4" w:rsidRPr="00581BC4" w:rsidRDefault="00581BC4" w:rsidP="00D42386">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 xml:space="preserve">1. Vilkaviškio </w:t>
            </w:r>
            <w:r w:rsidR="00D42386">
              <w:rPr>
                <w:rFonts w:ascii="Times New Roman" w:eastAsia="Times New Roman" w:hAnsi="Times New Roman" w:cs="Times New Roman"/>
                <w:color w:val="000000"/>
                <w:sz w:val="24"/>
                <w:szCs w:val="24"/>
                <w:lang w:eastAsia="lt-LT"/>
              </w:rPr>
              <w:softHyphen/>
              <w:t>„</w:t>
            </w:r>
            <w:r w:rsidRPr="00581BC4">
              <w:rPr>
                <w:rFonts w:ascii="Times New Roman" w:eastAsia="Times New Roman" w:hAnsi="Times New Roman" w:cs="Times New Roman"/>
                <w:color w:val="000000"/>
                <w:sz w:val="24"/>
                <w:szCs w:val="24"/>
                <w:lang w:eastAsia="lt-LT"/>
              </w:rPr>
              <w:t>Aušros</w:t>
            </w:r>
            <w:r w:rsidR="00D42386">
              <w:rPr>
                <w:rFonts w:ascii="Times New Roman" w:eastAsia="Times New Roman" w:hAnsi="Times New Roman" w:cs="Times New Roman"/>
                <w:color w:val="000000"/>
                <w:sz w:val="24"/>
                <w:szCs w:val="24"/>
                <w:lang w:eastAsia="lt-LT"/>
              </w:rPr>
              <w:t xml:space="preserve">“ </w:t>
            </w:r>
            <w:r w:rsidRPr="00581BC4">
              <w:rPr>
                <w:rFonts w:ascii="Times New Roman" w:eastAsia="Times New Roman" w:hAnsi="Times New Roman" w:cs="Times New Roman"/>
                <w:color w:val="000000"/>
                <w:sz w:val="24"/>
                <w:szCs w:val="24"/>
                <w:lang w:eastAsia="lt-LT"/>
              </w:rPr>
              <w:t>gimnazija</w:t>
            </w:r>
          </w:p>
        </w:tc>
        <w:tc>
          <w:tcPr>
            <w:tcW w:w="2127" w:type="dxa"/>
            <w:tcBorders>
              <w:top w:val="nil"/>
              <w:left w:val="nil"/>
              <w:bottom w:val="nil"/>
              <w:right w:val="nil"/>
            </w:tcBorders>
            <w:shd w:val="clear" w:color="auto" w:fill="auto"/>
            <w:noWrap/>
            <w:vAlign w:val="bottom"/>
            <w:hideMark/>
          </w:tcPr>
          <w:p w14:paraId="59E27C4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119</w:t>
            </w:r>
          </w:p>
        </w:tc>
        <w:tc>
          <w:tcPr>
            <w:tcW w:w="1984" w:type="dxa"/>
            <w:tcBorders>
              <w:top w:val="nil"/>
              <w:left w:val="nil"/>
              <w:bottom w:val="nil"/>
              <w:right w:val="nil"/>
            </w:tcBorders>
            <w:shd w:val="clear" w:color="auto" w:fill="auto"/>
            <w:noWrap/>
            <w:vAlign w:val="bottom"/>
            <w:hideMark/>
          </w:tcPr>
          <w:p w14:paraId="59E27C4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c>
          <w:tcPr>
            <w:tcW w:w="992" w:type="dxa"/>
            <w:tcBorders>
              <w:top w:val="nil"/>
              <w:left w:val="nil"/>
              <w:bottom w:val="nil"/>
              <w:right w:val="nil"/>
            </w:tcBorders>
            <w:shd w:val="clear" w:color="auto" w:fill="auto"/>
            <w:noWrap/>
            <w:vAlign w:val="bottom"/>
            <w:hideMark/>
          </w:tcPr>
          <w:p w14:paraId="59E27C4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28</w:t>
            </w:r>
          </w:p>
        </w:tc>
        <w:tc>
          <w:tcPr>
            <w:tcW w:w="1134" w:type="dxa"/>
            <w:tcBorders>
              <w:top w:val="nil"/>
              <w:left w:val="nil"/>
              <w:bottom w:val="nil"/>
              <w:right w:val="nil"/>
            </w:tcBorders>
            <w:shd w:val="clear" w:color="auto" w:fill="auto"/>
            <w:noWrap/>
            <w:vAlign w:val="bottom"/>
            <w:hideMark/>
          </w:tcPr>
          <w:p w14:paraId="59E27C4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153</w:t>
            </w:r>
          </w:p>
        </w:tc>
      </w:tr>
      <w:tr w:rsidR="00581BC4" w:rsidRPr="00581BC4" w14:paraId="59E27C55" w14:textId="77777777" w:rsidTr="00D42386">
        <w:trPr>
          <w:trHeight w:val="255"/>
        </w:trPr>
        <w:tc>
          <w:tcPr>
            <w:tcW w:w="3260" w:type="dxa"/>
            <w:tcBorders>
              <w:top w:val="nil"/>
              <w:left w:val="nil"/>
              <w:bottom w:val="nil"/>
              <w:right w:val="nil"/>
            </w:tcBorders>
            <w:shd w:val="clear" w:color="auto" w:fill="auto"/>
            <w:noWrap/>
            <w:vAlign w:val="bottom"/>
            <w:hideMark/>
          </w:tcPr>
          <w:p w14:paraId="59E27C50"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 Vilkaviškio r. Bartninkų Jono Basanavičiaus mokykla-daugiafunkcis centras</w:t>
            </w:r>
          </w:p>
        </w:tc>
        <w:tc>
          <w:tcPr>
            <w:tcW w:w="2127" w:type="dxa"/>
            <w:tcBorders>
              <w:top w:val="nil"/>
              <w:left w:val="nil"/>
              <w:bottom w:val="nil"/>
              <w:right w:val="nil"/>
            </w:tcBorders>
            <w:shd w:val="clear" w:color="auto" w:fill="auto"/>
            <w:noWrap/>
            <w:vAlign w:val="bottom"/>
            <w:hideMark/>
          </w:tcPr>
          <w:p w14:paraId="59E27C5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21</w:t>
            </w:r>
          </w:p>
        </w:tc>
        <w:tc>
          <w:tcPr>
            <w:tcW w:w="1984" w:type="dxa"/>
            <w:tcBorders>
              <w:top w:val="nil"/>
              <w:left w:val="nil"/>
              <w:bottom w:val="nil"/>
              <w:right w:val="nil"/>
            </w:tcBorders>
            <w:shd w:val="clear" w:color="auto" w:fill="auto"/>
            <w:noWrap/>
            <w:vAlign w:val="bottom"/>
            <w:hideMark/>
          </w:tcPr>
          <w:p w14:paraId="59E27C5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992" w:type="dxa"/>
            <w:tcBorders>
              <w:top w:val="nil"/>
              <w:left w:val="nil"/>
              <w:bottom w:val="nil"/>
              <w:right w:val="nil"/>
            </w:tcBorders>
            <w:shd w:val="clear" w:color="auto" w:fill="auto"/>
            <w:noWrap/>
            <w:vAlign w:val="bottom"/>
            <w:hideMark/>
          </w:tcPr>
          <w:p w14:paraId="59E27C53" w14:textId="77777777" w:rsidR="00581BC4" w:rsidRPr="00581BC4" w:rsidRDefault="00581BC4" w:rsidP="00581BC4">
            <w:pPr>
              <w:spacing w:after="0" w:line="240" w:lineRule="auto"/>
              <w:jc w:val="center"/>
              <w:rPr>
                <w:rFonts w:ascii="Times New Roman" w:eastAsia="Times New Roman" w:hAnsi="Times New Roman" w:cs="Times New Roman"/>
                <w:sz w:val="24"/>
                <w:szCs w:val="24"/>
                <w:lang w:eastAsia="lt-LT"/>
              </w:rPr>
            </w:pPr>
          </w:p>
        </w:tc>
        <w:tc>
          <w:tcPr>
            <w:tcW w:w="1134" w:type="dxa"/>
            <w:tcBorders>
              <w:top w:val="nil"/>
              <w:left w:val="nil"/>
              <w:bottom w:val="nil"/>
              <w:right w:val="nil"/>
            </w:tcBorders>
            <w:shd w:val="clear" w:color="auto" w:fill="auto"/>
            <w:noWrap/>
            <w:vAlign w:val="bottom"/>
            <w:hideMark/>
          </w:tcPr>
          <w:p w14:paraId="59E27C5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21</w:t>
            </w:r>
          </w:p>
        </w:tc>
      </w:tr>
      <w:tr w:rsidR="00581BC4" w:rsidRPr="00581BC4" w14:paraId="59E27C5B" w14:textId="77777777" w:rsidTr="00D42386">
        <w:trPr>
          <w:trHeight w:val="255"/>
        </w:trPr>
        <w:tc>
          <w:tcPr>
            <w:tcW w:w="3260" w:type="dxa"/>
            <w:tcBorders>
              <w:top w:val="nil"/>
              <w:left w:val="nil"/>
              <w:bottom w:val="nil"/>
              <w:right w:val="nil"/>
            </w:tcBorders>
            <w:shd w:val="clear" w:color="auto" w:fill="auto"/>
            <w:noWrap/>
            <w:vAlign w:val="bottom"/>
            <w:hideMark/>
          </w:tcPr>
          <w:p w14:paraId="59E27C56"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lastRenderedPageBreak/>
              <w:t>3. Vilkaviškio r. Gižų Kazimiero Baršausko mokykla-daugiafunkcis centras</w:t>
            </w:r>
          </w:p>
        </w:tc>
        <w:tc>
          <w:tcPr>
            <w:tcW w:w="2127" w:type="dxa"/>
            <w:tcBorders>
              <w:top w:val="nil"/>
              <w:left w:val="nil"/>
              <w:bottom w:val="nil"/>
              <w:right w:val="nil"/>
            </w:tcBorders>
            <w:shd w:val="clear" w:color="auto" w:fill="auto"/>
            <w:noWrap/>
            <w:vAlign w:val="bottom"/>
            <w:hideMark/>
          </w:tcPr>
          <w:p w14:paraId="59E27C5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4" w:type="dxa"/>
            <w:tcBorders>
              <w:top w:val="nil"/>
              <w:left w:val="nil"/>
              <w:bottom w:val="nil"/>
              <w:right w:val="nil"/>
            </w:tcBorders>
            <w:shd w:val="clear" w:color="auto" w:fill="auto"/>
            <w:noWrap/>
            <w:vAlign w:val="bottom"/>
            <w:hideMark/>
          </w:tcPr>
          <w:p w14:paraId="59E27C5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w:t>
            </w:r>
          </w:p>
        </w:tc>
        <w:tc>
          <w:tcPr>
            <w:tcW w:w="992" w:type="dxa"/>
            <w:tcBorders>
              <w:top w:val="nil"/>
              <w:left w:val="nil"/>
              <w:bottom w:val="nil"/>
              <w:right w:val="nil"/>
            </w:tcBorders>
            <w:shd w:val="clear" w:color="auto" w:fill="auto"/>
            <w:noWrap/>
            <w:vAlign w:val="bottom"/>
            <w:hideMark/>
          </w:tcPr>
          <w:p w14:paraId="59E27C5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5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r>
      <w:tr w:rsidR="00581BC4" w:rsidRPr="00581BC4" w14:paraId="59E27C61" w14:textId="77777777" w:rsidTr="00D42386">
        <w:trPr>
          <w:trHeight w:val="255"/>
        </w:trPr>
        <w:tc>
          <w:tcPr>
            <w:tcW w:w="3260" w:type="dxa"/>
            <w:tcBorders>
              <w:top w:val="nil"/>
              <w:left w:val="nil"/>
              <w:bottom w:val="nil"/>
              <w:right w:val="nil"/>
            </w:tcBorders>
            <w:shd w:val="clear" w:color="auto" w:fill="auto"/>
            <w:noWrap/>
            <w:vAlign w:val="bottom"/>
            <w:hideMark/>
          </w:tcPr>
          <w:p w14:paraId="59E27C5C"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 Vilkaviškio r. Gražiškių gimnazija</w:t>
            </w:r>
          </w:p>
        </w:tc>
        <w:tc>
          <w:tcPr>
            <w:tcW w:w="2127" w:type="dxa"/>
            <w:tcBorders>
              <w:top w:val="nil"/>
              <w:left w:val="nil"/>
              <w:bottom w:val="nil"/>
              <w:right w:val="nil"/>
            </w:tcBorders>
            <w:shd w:val="clear" w:color="auto" w:fill="auto"/>
            <w:noWrap/>
            <w:vAlign w:val="bottom"/>
            <w:hideMark/>
          </w:tcPr>
          <w:p w14:paraId="59E27C5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w:t>
            </w:r>
          </w:p>
        </w:tc>
        <w:tc>
          <w:tcPr>
            <w:tcW w:w="1984" w:type="dxa"/>
            <w:tcBorders>
              <w:top w:val="nil"/>
              <w:left w:val="nil"/>
              <w:bottom w:val="nil"/>
              <w:right w:val="nil"/>
            </w:tcBorders>
            <w:shd w:val="clear" w:color="auto" w:fill="auto"/>
            <w:noWrap/>
            <w:vAlign w:val="bottom"/>
            <w:hideMark/>
          </w:tcPr>
          <w:p w14:paraId="59E27C5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992" w:type="dxa"/>
            <w:tcBorders>
              <w:top w:val="nil"/>
              <w:left w:val="nil"/>
              <w:bottom w:val="nil"/>
              <w:right w:val="nil"/>
            </w:tcBorders>
            <w:shd w:val="clear" w:color="auto" w:fill="auto"/>
            <w:noWrap/>
            <w:vAlign w:val="bottom"/>
            <w:hideMark/>
          </w:tcPr>
          <w:p w14:paraId="59E27C5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1134" w:type="dxa"/>
            <w:tcBorders>
              <w:top w:val="nil"/>
              <w:left w:val="nil"/>
              <w:bottom w:val="nil"/>
              <w:right w:val="nil"/>
            </w:tcBorders>
            <w:shd w:val="clear" w:color="auto" w:fill="auto"/>
            <w:noWrap/>
            <w:vAlign w:val="bottom"/>
            <w:hideMark/>
          </w:tcPr>
          <w:p w14:paraId="59E27C6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26</w:t>
            </w:r>
          </w:p>
        </w:tc>
      </w:tr>
      <w:tr w:rsidR="00581BC4" w:rsidRPr="00581BC4" w14:paraId="59E27C67" w14:textId="77777777" w:rsidTr="00D42386">
        <w:trPr>
          <w:trHeight w:val="255"/>
        </w:trPr>
        <w:tc>
          <w:tcPr>
            <w:tcW w:w="3260" w:type="dxa"/>
            <w:tcBorders>
              <w:top w:val="nil"/>
              <w:left w:val="nil"/>
              <w:bottom w:val="nil"/>
              <w:right w:val="nil"/>
            </w:tcBorders>
            <w:shd w:val="clear" w:color="auto" w:fill="auto"/>
            <w:noWrap/>
            <w:vAlign w:val="bottom"/>
            <w:hideMark/>
          </w:tcPr>
          <w:p w14:paraId="59E27C62"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 Vilkaviškio r. Kybartų Kristijono Donelaičio gimnazija</w:t>
            </w:r>
          </w:p>
        </w:tc>
        <w:tc>
          <w:tcPr>
            <w:tcW w:w="2127" w:type="dxa"/>
            <w:tcBorders>
              <w:top w:val="nil"/>
              <w:left w:val="nil"/>
              <w:bottom w:val="nil"/>
              <w:right w:val="nil"/>
            </w:tcBorders>
            <w:shd w:val="clear" w:color="auto" w:fill="auto"/>
            <w:noWrap/>
            <w:vAlign w:val="bottom"/>
            <w:hideMark/>
          </w:tcPr>
          <w:p w14:paraId="59E27C6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41</w:t>
            </w:r>
          </w:p>
        </w:tc>
        <w:tc>
          <w:tcPr>
            <w:tcW w:w="1984" w:type="dxa"/>
            <w:tcBorders>
              <w:top w:val="nil"/>
              <w:left w:val="nil"/>
              <w:bottom w:val="nil"/>
              <w:right w:val="nil"/>
            </w:tcBorders>
            <w:shd w:val="clear" w:color="auto" w:fill="auto"/>
            <w:noWrap/>
            <w:vAlign w:val="bottom"/>
            <w:hideMark/>
          </w:tcPr>
          <w:p w14:paraId="59E27C6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992" w:type="dxa"/>
            <w:tcBorders>
              <w:top w:val="nil"/>
              <w:left w:val="nil"/>
              <w:bottom w:val="nil"/>
              <w:right w:val="nil"/>
            </w:tcBorders>
            <w:shd w:val="clear" w:color="auto" w:fill="auto"/>
            <w:noWrap/>
            <w:vAlign w:val="bottom"/>
            <w:hideMark/>
          </w:tcPr>
          <w:p w14:paraId="59E27C6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c>
          <w:tcPr>
            <w:tcW w:w="1134" w:type="dxa"/>
            <w:tcBorders>
              <w:top w:val="nil"/>
              <w:left w:val="nil"/>
              <w:bottom w:val="nil"/>
              <w:right w:val="nil"/>
            </w:tcBorders>
            <w:shd w:val="clear" w:color="auto" w:fill="auto"/>
            <w:noWrap/>
            <w:vAlign w:val="bottom"/>
            <w:hideMark/>
          </w:tcPr>
          <w:p w14:paraId="59E27C6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51</w:t>
            </w:r>
          </w:p>
        </w:tc>
      </w:tr>
      <w:tr w:rsidR="00581BC4" w:rsidRPr="00581BC4" w14:paraId="59E27C6D" w14:textId="77777777" w:rsidTr="00D42386">
        <w:trPr>
          <w:trHeight w:val="255"/>
        </w:trPr>
        <w:tc>
          <w:tcPr>
            <w:tcW w:w="3260" w:type="dxa"/>
            <w:tcBorders>
              <w:top w:val="nil"/>
              <w:left w:val="nil"/>
              <w:bottom w:val="nil"/>
              <w:right w:val="nil"/>
            </w:tcBorders>
            <w:shd w:val="clear" w:color="auto" w:fill="auto"/>
            <w:noWrap/>
            <w:vAlign w:val="bottom"/>
            <w:hideMark/>
          </w:tcPr>
          <w:p w14:paraId="59E27C68"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 Vilkaviškio r. Pilviškių „Santakos“ gimnazija</w:t>
            </w:r>
          </w:p>
        </w:tc>
        <w:tc>
          <w:tcPr>
            <w:tcW w:w="2127" w:type="dxa"/>
            <w:tcBorders>
              <w:top w:val="nil"/>
              <w:left w:val="nil"/>
              <w:bottom w:val="nil"/>
              <w:right w:val="nil"/>
            </w:tcBorders>
            <w:shd w:val="clear" w:color="auto" w:fill="auto"/>
            <w:noWrap/>
            <w:vAlign w:val="bottom"/>
            <w:hideMark/>
          </w:tcPr>
          <w:p w14:paraId="59E27C6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31</w:t>
            </w:r>
          </w:p>
        </w:tc>
        <w:tc>
          <w:tcPr>
            <w:tcW w:w="1984" w:type="dxa"/>
            <w:tcBorders>
              <w:top w:val="nil"/>
              <w:left w:val="nil"/>
              <w:bottom w:val="nil"/>
              <w:right w:val="nil"/>
            </w:tcBorders>
            <w:shd w:val="clear" w:color="auto" w:fill="auto"/>
            <w:noWrap/>
            <w:vAlign w:val="bottom"/>
            <w:hideMark/>
          </w:tcPr>
          <w:p w14:paraId="59E27C6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992" w:type="dxa"/>
            <w:tcBorders>
              <w:top w:val="nil"/>
              <w:left w:val="nil"/>
              <w:bottom w:val="nil"/>
              <w:right w:val="nil"/>
            </w:tcBorders>
            <w:shd w:val="clear" w:color="auto" w:fill="auto"/>
            <w:noWrap/>
            <w:vAlign w:val="bottom"/>
            <w:hideMark/>
          </w:tcPr>
          <w:p w14:paraId="59E27C6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6</w:t>
            </w:r>
          </w:p>
        </w:tc>
        <w:tc>
          <w:tcPr>
            <w:tcW w:w="1134" w:type="dxa"/>
            <w:tcBorders>
              <w:top w:val="nil"/>
              <w:left w:val="nil"/>
              <w:bottom w:val="nil"/>
              <w:right w:val="nil"/>
            </w:tcBorders>
            <w:shd w:val="clear" w:color="auto" w:fill="auto"/>
            <w:noWrap/>
            <w:vAlign w:val="bottom"/>
            <w:hideMark/>
          </w:tcPr>
          <w:p w14:paraId="59E27C6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45</w:t>
            </w:r>
          </w:p>
        </w:tc>
      </w:tr>
      <w:tr w:rsidR="00581BC4" w:rsidRPr="00581BC4" w14:paraId="59E27C73" w14:textId="77777777" w:rsidTr="00D42386">
        <w:trPr>
          <w:trHeight w:val="255"/>
        </w:trPr>
        <w:tc>
          <w:tcPr>
            <w:tcW w:w="3260" w:type="dxa"/>
            <w:tcBorders>
              <w:top w:val="nil"/>
              <w:left w:val="nil"/>
              <w:bottom w:val="nil"/>
              <w:right w:val="nil"/>
            </w:tcBorders>
            <w:shd w:val="clear" w:color="auto" w:fill="auto"/>
            <w:noWrap/>
            <w:vAlign w:val="bottom"/>
            <w:hideMark/>
          </w:tcPr>
          <w:p w14:paraId="59E27C6E"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 xml:space="preserve">7. Vilkaviškio r. </w:t>
            </w:r>
            <w:proofErr w:type="spellStart"/>
            <w:r w:rsidRPr="00581BC4">
              <w:rPr>
                <w:rFonts w:ascii="Times New Roman" w:eastAsia="Times New Roman" w:hAnsi="Times New Roman" w:cs="Times New Roman"/>
                <w:color w:val="000000"/>
                <w:sz w:val="24"/>
                <w:szCs w:val="24"/>
                <w:lang w:eastAsia="lt-LT"/>
              </w:rPr>
              <w:t>Sūdavos</w:t>
            </w:r>
            <w:proofErr w:type="spellEnd"/>
            <w:r w:rsidRPr="00581BC4">
              <w:rPr>
                <w:rFonts w:ascii="Times New Roman" w:eastAsia="Times New Roman" w:hAnsi="Times New Roman" w:cs="Times New Roman"/>
                <w:color w:val="000000"/>
                <w:sz w:val="24"/>
                <w:szCs w:val="24"/>
                <w:lang w:eastAsia="lt-LT"/>
              </w:rPr>
              <w:t xml:space="preserve"> pagrindinė mokykla</w:t>
            </w:r>
          </w:p>
        </w:tc>
        <w:tc>
          <w:tcPr>
            <w:tcW w:w="2127" w:type="dxa"/>
            <w:tcBorders>
              <w:top w:val="nil"/>
              <w:left w:val="nil"/>
              <w:bottom w:val="nil"/>
              <w:right w:val="nil"/>
            </w:tcBorders>
            <w:shd w:val="clear" w:color="auto" w:fill="auto"/>
            <w:noWrap/>
            <w:vAlign w:val="bottom"/>
            <w:hideMark/>
          </w:tcPr>
          <w:p w14:paraId="59E27C6F"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1984" w:type="dxa"/>
            <w:tcBorders>
              <w:top w:val="nil"/>
              <w:left w:val="nil"/>
              <w:bottom w:val="nil"/>
              <w:right w:val="nil"/>
            </w:tcBorders>
            <w:shd w:val="clear" w:color="auto" w:fill="auto"/>
            <w:noWrap/>
            <w:vAlign w:val="bottom"/>
            <w:hideMark/>
          </w:tcPr>
          <w:p w14:paraId="59E27C70"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992" w:type="dxa"/>
            <w:tcBorders>
              <w:top w:val="nil"/>
              <w:left w:val="nil"/>
              <w:bottom w:val="nil"/>
              <w:right w:val="nil"/>
            </w:tcBorders>
            <w:shd w:val="clear" w:color="auto" w:fill="auto"/>
            <w:noWrap/>
            <w:vAlign w:val="bottom"/>
            <w:hideMark/>
          </w:tcPr>
          <w:p w14:paraId="59E27C7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7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12</w:t>
            </w:r>
          </w:p>
        </w:tc>
      </w:tr>
      <w:tr w:rsidR="00581BC4" w:rsidRPr="00581BC4" w14:paraId="59E27C79" w14:textId="77777777" w:rsidTr="00D42386">
        <w:trPr>
          <w:trHeight w:val="255"/>
        </w:trPr>
        <w:tc>
          <w:tcPr>
            <w:tcW w:w="3260" w:type="dxa"/>
            <w:tcBorders>
              <w:top w:val="nil"/>
              <w:left w:val="nil"/>
              <w:bottom w:val="nil"/>
              <w:right w:val="nil"/>
            </w:tcBorders>
            <w:shd w:val="clear" w:color="auto" w:fill="auto"/>
            <w:noWrap/>
            <w:vAlign w:val="bottom"/>
            <w:hideMark/>
          </w:tcPr>
          <w:p w14:paraId="59E27C74"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 Vilkaviškio r. Virbalio pagrindinė mokykla</w:t>
            </w:r>
          </w:p>
        </w:tc>
        <w:tc>
          <w:tcPr>
            <w:tcW w:w="2127" w:type="dxa"/>
            <w:tcBorders>
              <w:top w:val="nil"/>
              <w:left w:val="nil"/>
              <w:bottom w:val="nil"/>
              <w:right w:val="nil"/>
            </w:tcBorders>
            <w:shd w:val="clear" w:color="auto" w:fill="auto"/>
            <w:noWrap/>
            <w:vAlign w:val="bottom"/>
            <w:hideMark/>
          </w:tcPr>
          <w:p w14:paraId="59E27C75"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12</w:t>
            </w:r>
          </w:p>
        </w:tc>
        <w:tc>
          <w:tcPr>
            <w:tcW w:w="1984" w:type="dxa"/>
            <w:tcBorders>
              <w:top w:val="nil"/>
              <w:left w:val="nil"/>
              <w:bottom w:val="nil"/>
              <w:right w:val="nil"/>
            </w:tcBorders>
            <w:shd w:val="clear" w:color="auto" w:fill="auto"/>
            <w:noWrap/>
            <w:vAlign w:val="bottom"/>
            <w:hideMark/>
          </w:tcPr>
          <w:p w14:paraId="59E27C76"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2</w:t>
            </w:r>
          </w:p>
        </w:tc>
        <w:tc>
          <w:tcPr>
            <w:tcW w:w="992" w:type="dxa"/>
            <w:tcBorders>
              <w:top w:val="nil"/>
              <w:left w:val="nil"/>
              <w:bottom w:val="nil"/>
              <w:right w:val="nil"/>
            </w:tcBorders>
            <w:shd w:val="clear" w:color="auto" w:fill="auto"/>
            <w:noWrap/>
            <w:vAlign w:val="bottom"/>
            <w:hideMark/>
          </w:tcPr>
          <w:p w14:paraId="59E27C7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7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14</w:t>
            </w:r>
          </w:p>
        </w:tc>
      </w:tr>
      <w:tr w:rsidR="00581BC4" w:rsidRPr="00581BC4" w14:paraId="59E27C7F" w14:textId="77777777" w:rsidTr="00D42386">
        <w:trPr>
          <w:trHeight w:val="255"/>
        </w:trPr>
        <w:tc>
          <w:tcPr>
            <w:tcW w:w="3260" w:type="dxa"/>
            <w:tcBorders>
              <w:top w:val="nil"/>
              <w:left w:val="nil"/>
              <w:bottom w:val="nil"/>
              <w:right w:val="nil"/>
            </w:tcBorders>
            <w:shd w:val="clear" w:color="auto" w:fill="auto"/>
            <w:noWrap/>
            <w:vAlign w:val="bottom"/>
            <w:hideMark/>
          </w:tcPr>
          <w:p w14:paraId="59E27C7A"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 Vilkaviškio rajono Pajevonio pagrindinė mokykla</w:t>
            </w:r>
          </w:p>
        </w:tc>
        <w:tc>
          <w:tcPr>
            <w:tcW w:w="2127" w:type="dxa"/>
            <w:tcBorders>
              <w:top w:val="nil"/>
              <w:left w:val="nil"/>
              <w:bottom w:val="nil"/>
              <w:right w:val="nil"/>
            </w:tcBorders>
            <w:shd w:val="clear" w:color="auto" w:fill="auto"/>
            <w:noWrap/>
            <w:vAlign w:val="bottom"/>
            <w:hideMark/>
          </w:tcPr>
          <w:p w14:paraId="59E27C7B"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5</w:t>
            </w:r>
          </w:p>
        </w:tc>
        <w:tc>
          <w:tcPr>
            <w:tcW w:w="1984" w:type="dxa"/>
            <w:tcBorders>
              <w:top w:val="nil"/>
              <w:left w:val="nil"/>
              <w:bottom w:val="nil"/>
              <w:right w:val="nil"/>
            </w:tcBorders>
            <w:shd w:val="clear" w:color="auto" w:fill="auto"/>
            <w:noWrap/>
            <w:vAlign w:val="bottom"/>
            <w:hideMark/>
          </w:tcPr>
          <w:p w14:paraId="59E27C7C"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992" w:type="dxa"/>
            <w:tcBorders>
              <w:top w:val="nil"/>
              <w:left w:val="nil"/>
              <w:bottom w:val="nil"/>
              <w:right w:val="nil"/>
            </w:tcBorders>
            <w:shd w:val="clear" w:color="auto" w:fill="auto"/>
            <w:noWrap/>
            <w:vAlign w:val="bottom"/>
            <w:hideMark/>
          </w:tcPr>
          <w:p w14:paraId="59E27C7D"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134" w:type="dxa"/>
            <w:tcBorders>
              <w:top w:val="nil"/>
              <w:left w:val="nil"/>
              <w:bottom w:val="nil"/>
              <w:right w:val="nil"/>
            </w:tcBorders>
            <w:shd w:val="clear" w:color="auto" w:fill="auto"/>
            <w:noWrap/>
            <w:vAlign w:val="bottom"/>
            <w:hideMark/>
          </w:tcPr>
          <w:p w14:paraId="59E27C7E"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7</w:t>
            </w:r>
          </w:p>
        </w:tc>
      </w:tr>
      <w:tr w:rsidR="00581BC4" w:rsidRPr="00581BC4" w14:paraId="59E27C85" w14:textId="77777777" w:rsidTr="00D42386">
        <w:trPr>
          <w:trHeight w:val="255"/>
        </w:trPr>
        <w:tc>
          <w:tcPr>
            <w:tcW w:w="3260" w:type="dxa"/>
            <w:tcBorders>
              <w:top w:val="nil"/>
              <w:left w:val="nil"/>
              <w:bottom w:val="nil"/>
              <w:right w:val="nil"/>
            </w:tcBorders>
            <w:shd w:val="clear" w:color="auto" w:fill="auto"/>
            <w:noWrap/>
            <w:vAlign w:val="bottom"/>
            <w:hideMark/>
          </w:tcPr>
          <w:p w14:paraId="59E27C80"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 Vilkaviškio Salomėjos Nėries pagrindinė mokykla</w:t>
            </w:r>
          </w:p>
        </w:tc>
        <w:tc>
          <w:tcPr>
            <w:tcW w:w="2127" w:type="dxa"/>
            <w:tcBorders>
              <w:top w:val="nil"/>
              <w:left w:val="nil"/>
              <w:bottom w:val="nil"/>
              <w:right w:val="nil"/>
            </w:tcBorders>
            <w:shd w:val="clear" w:color="auto" w:fill="auto"/>
            <w:noWrap/>
            <w:vAlign w:val="bottom"/>
            <w:hideMark/>
          </w:tcPr>
          <w:p w14:paraId="59E27C81"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1984" w:type="dxa"/>
            <w:tcBorders>
              <w:top w:val="nil"/>
              <w:left w:val="nil"/>
              <w:bottom w:val="nil"/>
              <w:right w:val="nil"/>
            </w:tcBorders>
            <w:shd w:val="clear" w:color="auto" w:fill="auto"/>
            <w:noWrap/>
            <w:vAlign w:val="bottom"/>
            <w:hideMark/>
          </w:tcPr>
          <w:p w14:paraId="59E27C82"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9</w:t>
            </w:r>
          </w:p>
        </w:tc>
        <w:tc>
          <w:tcPr>
            <w:tcW w:w="992" w:type="dxa"/>
            <w:tcBorders>
              <w:top w:val="nil"/>
              <w:left w:val="nil"/>
              <w:bottom w:val="nil"/>
              <w:right w:val="nil"/>
            </w:tcBorders>
            <w:shd w:val="clear" w:color="auto" w:fill="auto"/>
            <w:noWrap/>
            <w:vAlign w:val="bottom"/>
            <w:hideMark/>
          </w:tcPr>
          <w:p w14:paraId="59E27C83"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p>
        </w:tc>
        <w:tc>
          <w:tcPr>
            <w:tcW w:w="1134" w:type="dxa"/>
            <w:tcBorders>
              <w:top w:val="nil"/>
              <w:left w:val="nil"/>
              <w:bottom w:val="nil"/>
              <w:right w:val="nil"/>
            </w:tcBorders>
            <w:shd w:val="clear" w:color="auto" w:fill="auto"/>
            <w:noWrap/>
            <w:vAlign w:val="bottom"/>
            <w:hideMark/>
          </w:tcPr>
          <w:p w14:paraId="59E27C84"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10</w:t>
            </w:r>
          </w:p>
        </w:tc>
      </w:tr>
      <w:tr w:rsidR="00581BC4" w:rsidRPr="00581BC4" w14:paraId="59E27C8B" w14:textId="77777777" w:rsidTr="00D42386">
        <w:trPr>
          <w:trHeight w:val="255"/>
        </w:trPr>
        <w:tc>
          <w:tcPr>
            <w:tcW w:w="3260" w:type="dxa"/>
            <w:tcBorders>
              <w:top w:val="nil"/>
              <w:left w:val="nil"/>
              <w:bottom w:val="nil"/>
              <w:right w:val="nil"/>
            </w:tcBorders>
            <w:shd w:val="clear" w:color="auto" w:fill="auto"/>
            <w:noWrap/>
            <w:vAlign w:val="bottom"/>
            <w:hideMark/>
          </w:tcPr>
          <w:p w14:paraId="59E27C86" w14:textId="77777777" w:rsidR="00581BC4" w:rsidRPr="00581BC4" w:rsidRDefault="00581BC4" w:rsidP="00581BC4">
            <w:pPr>
              <w:spacing w:after="0" w:line="240" w:lineRule="auto"/>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11. Vilkaviškio suaugusiųjų ir jaunimo mokykla</w:t>
            </w:r>
          </w:p>
        </w:tc>
        <w:tc>
          <w:tcPr>
            <w:tcW w:w="2127" w:type="dxa"/>
            <w:tcBorders>
              <w:top w:val="nil"/>
              <w:left w:val="nil"/>
              <w:bottom w:val="nil"/>
              <w:right w:val="nil"/>
            </w:tcBorders>
            <w:shd w:val="clear" w:color="auto" w:fill="auto"/>
            <w:noWrap/>
            <w:vAlign w:val="bottom"/>
            <w:hideMark/>
          </w:tcPr>
          <w:p w14:paraId="59E27C87"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4</w:t>
            </w:r>
          </w:p>
        </w:tc>
        <w:tc>
          <w:tcPr>
            <w:tcW w:w="1984" w:type="dxa"/>
            <w:tcBorders>
              <w:top w:val="nil"/>
              <w:left w:val="nil"/>
              <w:bottom w:val="nil"/>
              <w:right w:val="nil"/>
            </w:tcBorders>
            <w:shd w:val="clear" w:color="auto" w:fill="auto"/>
            <w:noWrap/>
            <w:vAlign w:val="bottom"/>
            <w:hideMark/>
          </w:tcPr>
          <w:p w14:paraId="59E27C88"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w:t>
            </w:r>
          </w:p>
        </w:tc>
        <w:tc>
          <w:tcPr>
            <w:tcW w:w="992" w:type="dxa"/>
            <w:tcBorders>
              <w:top w:val="nil"/>
              <w:left w:val="nil"/>
              <w:bottom w:val="nil"/>
              <w:right w:val="nil"/>
            </w:tcBorders>
            <w:shd w:val="clear" w:color="auto" w:fill="auto"/>
            <w:noWrap/>
            <w:vAlign w:val="bottom"/>
            <w:hideMark/>
          </w:tcPr>
          <w:p w14:paraId="59E27C89"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8</w:t>
            </w:r>
          </w:p>
        </w:tc>
        <w:tc>
          <w:tcPr>
            <w:tcW w:w="1134" w:type="dxa"/>
            <w:tcBorders>
              <w:top w:val="nil"/>
              <w:left w:val="nil"/>
              <w:bottom w:val="nil"/>
              <w:right w:val="nil"/>
            </w:tcBorders>
            <w:shd w:val="clear" w:color="auto" w:fill="auto"/>
            <w:noWrap/>
            <w:vAlign w:val="bottom"/>
            <w:hideMark/>
          </w:tcPr>
          <w:p w14:paraId="59E27C8A" w14:textId="77777777" w:rsidR="00581BC4" w:rsidRPr="00581BC4" w:rsidRDefault="00581BC4" w:rsidP="00581BC4">
            <w:pPr>
              <w:spacing w:after="0" w:line="240" w:lineRule="auto"/>
              <w:jc w:val="center"/>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13</w:t>
            </w:r>
          </w:p>
        </w:tc>
      </w:tr>
      <w:tr w:rsidR="00581BC4" w:rsidRPr="00581BC4" w14:paraId="59E27C91" w14:textId="77777777" w:rsidTr="00D42386">
        <w:trPr>
          <w:trHeight w:val="255"/>
        </w:trPr>
        <w:tc>
          <w:tcPr>
            <w:tcW w:w="3260" w:type="dxa"/>
            <w:tcBorders>
              <w:top w:val="single" w:sz="4" w:space="0" w:color="95B3D7"/>
              <w:left w:val="nil"/>
              <w:bottom w:val="nil"/>
              <w:right w:val="nil"/>
            </w:tcBorders>
            <w:shd w:val="clear" w:color="DCE6F1" w:fill="DCE6F1"/>
            <w:noWrap/>
            <w:vAlign w:val="bottom"/>
            <w:hideMark/>
          </w:tcPr>
          <w:p w14:paraId="59E27C8C" w14:textId="77777777" w:rsidR="00581BC4" w:rsidRPr="00581BC4" w:rsidRDefault="00581BC4" w:rsidP="00581BC4">
            <w:pPr>
              <w:spacing w:after="0" w:line="240" w:lineRule="auto"/>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Bendroji suma</w:t>
            </w:r>
          </w:p>
        </w:tc>
        <w:tc>
          <w:tcPr>
            <w:tcW w:w="2127" w:type="dxa"/>
            <w:tcBorders>
              <w:top w:val="single" w:sz="4" w:space="0" w:color="95B3D7"/>
              <w:left w:val="nil"/>
              <w:bottom w:val="nil"/>
              <w:right w:val="nil"/>
            </w:tcBorders>
            <w:shd w:val="clear" w:color="DCE6F1" w:fill="DCE6F1"/>
            <w:noWrap/>
            <w:vAlign w:val="bottom"/>
            <w:hideMark/>
          </w:tcPr>
          <w:p w14:paraId="59E27C8D"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253</w:t>
            </w:r>
          </w:p>
        </w:tc>
        <w:tc>
          <w:tcPr>
            <w:tcW w:w="1984" w:type="dxa"/>
            <w:tcBorders>
              <w:top w:val="single" w:sz="4" w:space="0" w:color="95B3D7"/>
              <w:left w:val="nil"/>
              <w:bottom w:val="nil"/>
              <w:right w:val="nil"/>
            </w:tcBorders>
            <w:shd w:val="clear" w:color="DCE6F1" w:fill="DCE6F1"/>
            <w:noWrap/>
            <w:vAlign w:val="bottom"/>
            <w:hideMark/>
          </w:tcPr>
          <w:p w14:paraId="59E27C8E"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46</w:t>
            </w:r>
          </w:p>
        </w:tc>
        <w:tc>
          <w:tcPr>
            <w:tcW w:w="992" w:type="dxa"/>
            <w:tcBorders>
              <w:top w:val="single" w:sz="4" w:space="0" w:color="95B3D7"/>
              <w:left w:val="nil"/>
              <w:bottom w:val="nil"/>
              <w:right w:val="nil"/>
            </w:tcBorders>
            <w:shd w:val="clear" w:color="DCE6F1" w:fill="DCE6F1"/>
            <w:noWrap/>
            <w:vAlign w:val="bottom"/>
            <w:hideMark/>
          </w:tcPr>
          <w:p w14:paraId="59E27C8F"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57</w:t>
            </w:r>
          </w:p>
        </w:tc>
        <w:tc>
          <w:tcPr>
            <w:tcW w:w="1134" w:type="dxa"/>
            <w:tcBorders>
              <w:top w:val="single" w:sz="4" w:space="0" w:color="95B3D7"/>
              <w:left w:val="nil"/>
              <w:bottom w:val="nil"/>
              <w:right w:val="nil"/>
            </w:tcBorders>
            <w:shd w:val="clear" w:color="DCE6F1" w:fill="DCE6F1"/>
            <w:noWrap/>
            <w:vAlign w:val="bottom"/>
            <w:hideMark/>
          </w:tcPr>
          <w:p w14:paraId="59E27C90" w14:textId="77777777" w:rsidR="00581BC4" w:rsidRPr="00581BC4" w:rsidRDefault="00581BC4" w:rsidP="00581BC4">
            <w:pPr>
              <w:spacing w:after="0" w:line="240" w:lineRule="auto"/>
              <w:jc w:val="center"/>
              <w:rPr>
                <w:rFonts w:ascii="Times New Roman" w:eastAsia="Times New Roman" w:hAnsi="Times New Roman" w:cs="Times New Roman"/>
                <w:b/>
                <w:bCs/>
                <w:color w:val="000000"/>
                <w:sz w:val="24"/>
                <w:szCs w:val="24"/>
                <w:lang w:eastAsia="lt-LT"/>
              </w:rPr>
            </w:pPr>
            <w:r w:rsidRPr="00581BC4">
              <w:rPr>
                <w:rFonts w:ascii="Times New Roman" w:eastAsia="Times New Roman" w:hAnsi="Times New Roman" w:cs="Times New Roman"/>
                <w:b/>
                <w:bCs/>
                <w:color w:val="000000"/>
                <w:sz w:val="24"/>
                <w:szCs w:val="24"/>
                <w:lang w:eastAsia="lt-LT"/>
              </w:rPr>
              <w:t>356</w:t>
            </w:r>
          </w:p>
        </w:tc>
      </w:tr>
    </w:tbl>
    <w:p w14:paraId="59E27C92" w14:textId="77777777" w:rsidR="00D03DA7" w:rsidRDefault="00D03DA7" w:rsidP="00DB47AF">
      <w:pPr>
        <w:spacing w:after="0" w:line="240" w:lineRule="auto"/>
        <w:ind w:firstLine="567"/>
        <w:jc w:val="both"/>
        <w:rPr>
          <w:rFonts w:ascii="Times New Roman" w:eastAsia="Times New Roman" w:hAnsi="Times New Roman" w:cs="Times New Roman"/>
          <w:color w:val="000000"/>
          <w:sz w:val="24"/>
          <w:szCs w:val="24"/>
          <w:lang w:eastAsia="lt-LT"/>
        </w:rPr>
      </w:pPr>
    </w:p>
    <w:p w14:paraId="59E27C93" w14:textId="77777777" w:rsidR="00581BC4" w:rsidRPr="00581BC4" w:rsidRDefault="00581BC4" w:rsidP="00DB47AF">
      <w:pPr>
        <w:spacing w:after="0" w:line="240" w:lineRule="auto"/>
        <w:ind w:firstLine="567"/>
        <w:jc w:val="both"/>
        <w:rPr>
          <w:rFonts w:ascii="Times New Roman" w:eastAsia="Times New Roman" w:hAnsi="Times New Roman" w:cs="Times New Roman"/>
          <w:color w:val="000000"/>
          <w:sz w:val="24"/>
          <w:szCs w:val="24"/>
          <w:lang w:eastAsia="lt-LT"/>
        </w:rPr>
      </w:pPr>
      <w:r w:rsidRPr="00581BC4">
        <w:rPr>
          <w:rFonts w:ascii="Times New Roman" w:eastAsia="Times New Roman" w:hAnsi="Times New Roman" w:cs="Times New Roman"/>
          <w:color w:val="000000"/>
          <w:sz w:val="24"/>
          <w:szCs w:val="24"/>
          <w:lang w:eastAsia="lt-LT"/>
        </w:rPr>
        <w:t xml:space="preserve">Mokinių, baigusių pagrindinio ugdymo programą, pasirinktų tolimesnės karjeros variantų proporcijos skirtingose mokyklose labai skiriasi. Pavyzdžiui, didesnioji dalis Vilkaviškio Salomėjos Nėries pagrindinės mokyklos, Vilkaviškio r. Gižų Kazimiero Baršausko mokyklos-daugiafunkcio centro, Vilkaviškio suaugusiųjų ir jaunimo mokyklos, Vilkaviškio r. Gražiškių gimnazijos dešimtokų praėjusiais mokslo metais nepasirinko mokslo tęsimo bendrojo ugdymo mokykloje. Ženkli dalis gimnazistų po II gimnazijos klasės mokslo toliau nebetęsia – galima daryti prielaidą, kad šie mokiniai po 8 klasės mokymąsi gimnazijoje pasirinko netikslingai. </w:t>
      </w:r>
    </w:p>
    <w:p w14:paraId="59E27C94" w14:textId="77777777" w:rsidR="0047590E" w:rsidRDefault="0047590E" w:rsidP="00DB47AF">
      <w:pPr>
        <w:spacing w:after="0"/>
        <w:ind w:firstLine="567"/>
        <w:jc w:val="both"/>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 xml:space="preserve">Tikslinga Savivaldybės švietimo įstaigose stiprinti </w:t>
      </w:r>
      <w:r w:rsidRPr="0047590E">
        <w:rPr>
          <w:rFonts w:ascii="Times New Roman" w:eastAsia="Times New Roman" w:hAnsi="Times New Roman" w:cs="Times New Roman"/>
          <w:sz w:val="24"/>
          <w:szCs w:val="24"/>
        </w:rPr>
        <w:t>ir tobulin</w:t>
      </w:r>
      <w:r>
        <w:rPr>
          <w:rFonts w:ascii="Times New Roman" w:eastAsia="Times New Roman" w:hAnsi="Times New Roman" w:cs="Times New Roman"/>
          <w:sz w:val="24"/>
          <w:szCs w:val="24"/>
        </w:rPr>
        <w:t>ti</w:t>
      </w:r>
      <w:r w:rsidRPr="0047590E">
        <w:rPr>
          <w:rFonts w:ascii="Times New Roman" w:eastAsia="Times New Roman" w:hAnsi="Times New Roman" w:cs="Times New Roman"/>
          <w:sz w:val="24"/>
          <w:szCs w:val="24"/>
        </w:rPr>
        <w:t xml:space="preserve"> pedagogų lyderystės ugdymui ir mokymuisi kompetencija</w:t>
      </w:r>
      <w:r>
        <w:rPr>
          <w:rFonts w:ascii="Times New Roman" w:eastAsia="Times New Roman" w:hAnsi="Times New Roman" w:cs="Times New Roman"/>
          <w:sz w:val="24"/>
          <w:szCs w:val="24"/>
        </w:rPr>
        <w:t xml:space="preserve">s, </w:t>
      </w:r>
      <w:r w:rsidRPr="0047590E">
        <w:rPr>
          <w:rFonts w:ascii="Times New Roman" w:eastAsia="Times New Roman" w:hAnsi="Times New Roman" w:cs="Times New Roman"/>
          <w:sz w:val="24"/>
          <w:szCs w:val="24"/>
        </w:rPr>
        <w:t>telk</w:t>
      </w:r>
      <w:r>
        <w:rPr>
          <w:rFonts w:ascii="Times New Roman" w:eastAsia="Times New Roman" w:hAnsi="Times New Roman" w:cs="Times New Roman"/>
          <w:sz w:val="24"/>
          <w:szCs w:val="24"/>
        </w:rPr>
        <w:t xml:space="preserve">ti </w:t>
      </w:r>
      <w:r w:rsidRPr="0047590E">
        <w:rPr>
          <w:rFonts w:ascii="Times New Roman" w:eastAsia="Times New Roman" w:hAnsi="Times New Roman" w:cs="Times New Roman"/>
          <w:sz w:val="24"/>
          <w:szCs w:val="24"/>
        </w:rPr>
        <w:t>m</w:t>
      </w:r>
      <w:r w:rsidRPr="0047590E">
        <w:rPr>
          <w:rFonts w:ascii="Times New Roman" w:eastAsia="Times New Roman" w:hAnsi="Times New Roman" w:cs="Times New Roman"/>
          <w:color w:val="000000" w:themeColor="text1"/>
          <w:sz w:val="24"/>
          <w:szCs w:val="24"/>
          <w:lang w:eastAsia="lt-LT"/>
        </w:rPr>
        <w:t xml:space="preserve">okyklų bendruomenes įgyvendinti </w:t>
      </w:r>
      <w:proofErr w:type="spellStart"/>
      <w:r w:rsidRPr="0047590E">
        <w:rPr>
          <w:rFonts w:ascii="Times New Roman" w:eastAsia="Times New Roman" w:hAnsi="Times New Roman" w:cs="Times New Roman"/>
          <w:color w:val="000000" w:themeColor="text1"/>
          <w:sz w:val="24"/>
          <w:szCs w:val="24"/>
          <w:lang w:eastAsia="lt-LT"/>
        </w:rPr>
        <w:t>įtraukties</w:t>
      </w:r>
      <w:proofErr w:type="spellEnd"/>
      <w:r w:rsidRPr="0047590E">
        <w:rPr>
          <w:rFonts w:ascii="Times New Roman" w:eastAsia="Times New Roman" w:hAnsi="Times New Roman" w:cs="Times New Roman"/>
          <w:color w:val="000000" w:themeColor="text1"/>
          <w:sz w:val="24"/>
          <w:szCs w:val="24"/>
          <w:lang w:eastAsia="lt-LT"/>
        </w:rPr>
        <w:t xml:space="preserve"> principą švietime.</w:t>
      </w:r>
      <w:r>
        <w:rPr>
          <w:rFonts w:ascii="Times New Roman" w:eastAsia="Times New Roman" w:hAnsi="Times New Roman" w:cs="Times New Roman"/>
          <w:color w:val="000000" w:themeColor="text1"/>
          <w:sz w:val="24"/>
          <w:szCs w:val="24"/>
          <w:lang w:eastAsia="lt-LT"/>
        </w:rPr>
        <w:t xml:space="preserve"> </w:t>
      </w:r>
      <w:r w:rsidRPr="0047590E">
        <w:rPr>
          <w:rFonts w:ascii="Times New Roman" w:eastAsiaTheme="minorEastAsia" w:hAnsi="Times New Roman" w:cs="Times New Roman"/>
          <w:color w:val="000000" w:themeColor="text1"/>
          <w:sz w:val="24"/>
          <w:szCs w:val="24"/>
        </w:rPr>
        <w:t>Siekiant ir toliau gerinti VBE, NMPP, PUPP rezultatus</w:t>
      </w:r>
      <w:r>
        <w:rPr>
          <w:rFonts w:ascii="Times New Roman" w:eastAsiaTheme="minorEastAsia" w:hAnsi="Times New Roman" w:cs="Times New Roman"/>
          <w:color w:val="000000" w:themeColor="text1"/>
          <w:sz w:val="24"/>
          <w:szCs w:val="24"/>
        </w:rPr>
        <w:t>,</w:t>
      </w:r>
      <w:r w:rsidRPr="0047590E">
        <w:rPr>
          <w:rFonts w:ascii="Times New Roman" w:eastAsiaTheme="minorEastAsia" w:hAnsi="Times New Roman" w:cs="Times New Roman"/>
          <w:color w:val="000000" w:themeColor="text1"/>
          <w:sz w:val="24"/>
          <w:szCs w:val="24"/>
        </w:rPr>
        <w:t xml:space="preserve"> dar daugiau dėmesio </w:t>
      </w:r>
      <w:r>
        <w:rPr>
          <w:rFonts w:ascii="Times New Roman" w:eastAsiaTheme="minorEastAsia" w:hAnsi="Times New Roman" w:cs="Times New Roman"/>
          <w:color w:val="000000" w:themeColor="text1"/>
          <w:sz w:val="24"/>
          <w:szCs w:val="24"/>
        </w:rPr>
        <w:t xml:space="preserve">reikėtų </w:t>
      </w:r>
      <w:r w:rsidRPr="0047590E">
        <w:rPr>
          <w:rFonts w:ascii="Times New Roman" w:eastAsiaTheme="minorEastAsia" w:hAnsi="Times New Roman" w:cs="Times New Roman"/>
          <w:color w:val="000000" w:themeColor="text1"/>
          <w:sz w:val="24"/>
          <w:szCs w:val="24"/>
        </w:rPr>
        <w:t>skirti pagrindinio ir vidurinio ugdymo programų mokytojų kvalifikacijos tobulinimui, ypač gilinantis į lietuvių kalbos, matematikos ir skaitmeninio raštingumo ugdymą.</w:t>
      </w:r>
    </w:p>
    <w:p w14:paraId="59E27C95" w14:textId="77777777" w:rsidR="00DB47AF" w:rsidRPr="00DB47AF" w:rsidRDefault="00DB47AF" w:rsidP="00DB47AF">
      <w:pPr>
        <w:ind w:firstLine="596"/>
        <w:jc w:val="both"/>
        <w:rPr>
          <w:rFonts w:ascii="Times New Roman" w:hAnsi="Times New Roman" w:cs="Times New Roman"/>
          <w:bCs/>
          <w:sz w:val="24"/>
          <w:szCs w:val="24"/>
          <w:lang w:eastAsia="lt-LT"/>
        </w:rPr>
      </w:pPr>
      <w:r w:rsidRPr="00DB47AF">
        <w:rPr>
          <w:rFonts w:ascii="Times New Roman" w:hAnsi="Times New Roman" w:cs="Times New Roman"/>
          <w:sz w:val="24"/>
          <w:szCs w:val="24"/>
        </w:rPr>
        <w:t xml:space="preserve">Siekdama gerinti mokinių ugdymosi pasiekimus, </w:t>
      </w:r>
      <w:r w:rsidR="009F1FBC">
        <w:rPr>
          <w:rFonts w:ascii="Times New Roman" w:hAnsi="Times New Roman" w:cs="Times New Roman"/>
          <w:sz w:val="24"/>
          <w:szCs w:val="24"/>
        </w:rPr>
        <w:t xml:space="preserve">Vilkaviškio rajono </w:t>
      </w:r>
      <w:r w:rsidRPr="00DB47AF">
        <w:rPr>
          <w:rFonts w:ascii="Times New Roman" w:hAnsi="Times New Roman" w:cs="Times New Roman"/>
          <w:sz w:val="24"/>
          <w:szCs w:val="24"/>
        </w:rPr>
        <w:t xml:space="preserve">Savivaldybės </w:t>
      </w:r>
      <w:r w:rsidR="009F1FBC">
        <w:rPr>
          <w:rFonts w:ascii="Times New Roman" w:hAnsi="Times New Roman" w:cs="Times New Roman"/>
          <w:sz w:val="24"/>
          <w:szCs w:val="24"/>
        </w:rPr>
        <w:t>t</w:t>
      </w:r>
      <w:r w:rsidRPr="00DB47AF">
        <w:rPr>
          <w:rFonts w:ascii="Times New Roman" w:hAnsi="Times New Roman" w:cs="Times New Roman"/>
          <w:sz w:val="24"/>
          <w:szCs w:val="24"/>
        </w:rPr>
        <w:t xml:space="preserve">aryba  2018 m. gruodžio 21 d. sprendimu Nr. B-TS-1279 pritarė </w:t>
      </w:r>
      <w:r w:rsidR="009F1FBC">
        <w:rPr>
          <w:rFonts w:ascii="Times New Roman" w:hAnsi="Times New Roman" w:cs="Times New Roman"/>
          <w:sz w:val="24"/>
          <w:szCs w:val="24"/>
        </w:rPr>
        <w:t>Savivaldybės</w:t>
      </w:r>
      <w:r w:rsidRPr="00DB47AF">
        <w:rPr>
          <w:rFonts w:ascii="Times New Roman" w:hAnsi="Times New Roman" w:cs="Times New Roman"/>
          <w:sz w:val="24"/>
          <w:szCs w:val="24"/>
        </w:rPr>
        <w:t xml:space="preserve"> mokyklų dalyvavimui projekte „Mokinių ugdymosi pasiekimų gerinimas diegiant kokybės krepšelį“ pagal 2014–2020 metų Europos Sąjungos fondų investicijų veiksmų programos 9 prioriteto „Visuomenės švietimas ir žmogiškųjų išteklių potencialo didinimas“ 09.2.1-ESFA-V-719 priemonę „Kokybės krepšelis“. Projekto tikslas – tikslinių lėšų skyrimas mokykloms mokinių ugdymosi pasiekimams gerinti, trukmė – dveji mokslo metai. Stiprią ir silpną geros mokyklos požymių raišką turinčias mokyklas pagal Kokybės krepšelio skyrimo bendrojo ugdymo mokykloms tvarkos apraše nustatytus kriterijus įsakymu patvirtino Švietimo ir mokslo ministras.</w:t>
      </w:r>
      <w:r w:rsidRPr="00DB47AF">
        <w:rPr>
          <w:rFonts w:ascii="Times New Roman" w:hAnsi="Times New Roman" w:cs="Times New Roman"/>
          <w:bCs/>
          <w:sz w:val="24"/>
          <w:szCs w:val="24"/>
          <w:lang w:eastAsia="lt-LT"/>
        </w:rPr>
        <w:t xml:space="preserve"> </w:t>
      </w:r>
      <w:r w:rsidRPr="00DB47AF">
        <w:rPr>
          <w:rFonts w:ascii="Times New Roman" w:hAnsi="Times New Roman" w:cs="Times New Roman"/>
          <w:sz w:val="24"/>
          <w:szCs w:val="24"/>
        </w:rPr>
        <w:t xml:space="preserve">Į stiprią geros mokyklos požymių raišką turinčių mokyklų sąrašą įtraukta Vilkaviškio r. Kybartų „Saulės“ progimnazija, o į silpną geros mokyklos požymių raišką turinčių mokyklų sąrašą įtrauktos aštuonios rajono </w:t>
      </w:r>
      <w:r>
        <w:rPr>
          <w:rFonts w:ascii="Times New Roman" w:hAnsi="Times New Roman" w:cs="Times New Roman"/>
          <w:sz w:val="24"/>
          <w:szCs w:val="24"/>
        </w:rPr>
        <w:t xml:space="preserve">savivaldybės </w:t>
      </w:r>
      <w:r w:rsidRPr="00DB47AF">
        <w:rPr>
          <w:rFonts w:ascii="Times New Roman" w:hAnsi="Times New Roman" w:cs="Times New Roman"/>
          <w:sz w:val="24"/>
          <w:szCs w:val="24"/>
        </w:rPr>
        <w:t xml:space="preserve">mokyklos (Vilkaviškio „Ąžuolo“ progimnazija, Gražiškių, Pilviškių „Santakos“ gimnazijos, Virbalio, </w:t>
      </w:r>
      <w:proofErr w:type="spellStart"/>
      <w:r w:rsidRPr="00DB47AF">
        <w:rPr>
          <w:rFonts w:ascii="Times New Roman" w:hAnsi="Times New Roman" w:cs="Times New Roman"/>
          <w:sz w:val="24"/>
          <w:szCs w:val="24"/>
        </w:rPr>
        <w:t>Sūdavos</w:t>
      </w:r>
      <w:proofErr w:type="spellEnd"/>
      <w:r w:rsidRPr="00DB47AF">
        <w:rPr>
          <w:rFonts w:ascii="Times New Roman" w:hAnsi="Times New Roman" w:cs="Times New Roman"/>
          <w:sz w:val="24"/>
          <w:szCs w:val="24"/>
        </w:rPr>
        <w:t xml:space="preserve"> pagrindinės mokyklos, </w:t>
      </w:r>
      <w:proofErr w:type="spellStart"/>
      <w:r w:rsidRPr="00DB47AF">
        <w:rPr>
          <w:rFonts w:ascii="Times New Roman" w:hAnsi="Times New Roman" w:cs="Times New Roman"/>
          <w:sz w:val="24"/>
          <w:szCs w:val="24"/>
        </w:rPr>
        <w:t>Alvito</w:t>
      </w:r>
      <w:proofErr w:type="spellEnd"/>
      <w:r w:rsidRPr="00DB47AF">
        <w:rPr>
          <w:rFonts w:ascii="Times New Roman" w:hAnsi="Times New Roman" w:cs="Times New Roman"/>
          <w:sz w:val="24"/>
          <w:szCs w:val="24"/>
        </w:rPr>
        <w:t>, Bartninkų Jono Basanavičiaus, Keturvalakių mokyklos-daugiafunkciai centrai), kuriose mokosi 5–8 klasių mokiniai.</w:t>
      </w:r>
      <w:r w:rsidRPr="00DB47AF">
        <w:rPr>
          <w:rFonts w:ascii="Times New Roman" w:hAnsi="Times New Roman" w:cs="Times New Roman"/>
          <w:bCs/>
          <w:sz w:val="24"/>
          <w:szCs w:val="24"/>
          <w:lang w:eastAsia="lt-LT"/>
        </w:rPr>
        <w:t xml:space="preserve"> 2021 m. Savivaldybė teikė paraišką, kuri buvo patvirtinta ir dar dvi rajono gimnazijos (Vilkaviškio „Aušros“, </w:t>
      </w:r>
      <w:r w:rsidR="009F1FBC">
        <w:rPr>
          <w:rFonts w:ascii="Times New Roman" w:hAnsi="Times New Roman" w:cs="Times New Roman"/>
          <w:bCs/>
          <w:sz w:val="24"/>
          <w:szCs w:val="24"/>
          <w:lang w:eastAsia="lt-LT"/>
        </w:rPr>
        <w:t xml:space="preserve">Vilkaviškio r. </w:t>
      </w:r>
      <w:r w:rsidRPr="00DB47AF">
        <w:rPr>
          <w:rFonts w:ascii="Times New Roman" w:hAnsi="Times New Roman" w:cs="Times New Roman"/>
          <w:bCs/>
          <w:sz w:val="24"/>
          <w:szCs w:val="24"/>
          <w:lang w:eastAsia="lt-LT"/>
        </w:rPr>
        <w:t xml:space="preserve">Kybartų Kristijono Donelaičio) dalyvauja </w:t>
      </w:r>
      <w:r w:rsidRPr="00DB47AF">
        <w:rPr>
          <w:rFonts w:ascii="Times New Roman" w:hAnsi="Times New Roman" w:cs="Times New Roman"/>
          <w:sz w:val="24"/>
          <w:szCs w:val="24"/>
        </w:rPr>
        <w:t xml:space="preserve">projekte „Mokinių ugdymosi pasiekimų gerinimas diegiant kokybės krepšelį“. </w:t>
      </w:r>
      <w:r w:rsidRPr="00DB47AF">
        <w:rPr>
          <w:rFonts w:ascii="Times New Roman" w:hAnsi="Times New Roman" w:cs="Times New Roman"/>
          <w:bCs/>
          <w:sz w:val="24"/>
          <w:szCs w:val="24"/>
          <w:lang w:eastAsia="lt-LT"/>
        </w:rPr>
        <w:t>Pagal projektą iš valstybės biudžeto</w:t>
      </w:r>
      <w:r w:rsidRPr="00DB47AF">
        <w:rPr>
          <w:rFonts w:ascii="Times New Roman" w:hAnsi="Times New Roman" w:cs="Times New Roman"/>
          <w:sz w:val="24"/>
          <w:szCs w:val="24"/>
          <w:lang w:eastAsia="lt-LT"/>
        </w:rPr>
        <w:t xml:space="preserve"> finansuojama 85 proc. projekto veiklų, iš savivaldybės biudžeto – 15 proc.</w:t>
      </w:r>
      <w:r w:rsidRPr="00DB47AF">
        <w:rPr>
          <w:rFonts w:ascii="Times New Roman" w:hAnsi="Times New Roman" w:cs="Times New Roman"/>
          <w:sz w:val="24"/>
          <w:szCs w:val="24"/>
        </w:rPr>
        <w:t xml:space="preserve"> </w:t>
      </w:r>
    </w:p>
    <w:p w14:paraId="59E27C96" w14:textId="77777777" w:rsidR="0047590E" w:rsidRDefault="0035304B" w:rsidP="0047590E">
      <w:pPr>
        <w:spacing w:after="0" w:line="240" w:lineRule="auto"/>
        <w:jc w:val="center"/>
        <w:rPr>
          <w:rFonts w:ascii="Times New Roman" w:hAnsi="Times New Roman" w:cs="Times New Roman"/>
          <w:b/>
          <w:sz w:val="24"/>
          <w:szCs w:val="24"/>
        </w:rPr>
      </w:pPr>
      <w:r w:rsidRPr="00B97095">
        <w:rPr>
          <w:rFonts w:ascii="Times New Roman" w:hAnsi="Times New Roman" w:cs="Times New Roman"/>
          <w:b/>
          <w:sz w:val="24"/>
          <w:szCs w:val="24"/>
        </w:rPr>
        <w:lastRenderedPageBreak/>
        <w:t>Švietimo</w:t>
      </w:r>
      <w:r w:rsidR="0047590E" w:rsidRPr="00B97095">
        <w:rPr>
          <w:rFonts w:ascii="Times New Roman" w:hAnsi="Times New Roman" w:cs="Times New Roman"/>
          <w:b/>
          <w:sz w:val="24"/>
          <w:szCs w:val="24"/>
        </w:rPr>
        <w:t xml:space="preserve"> pagalba</w:t>
      </w:r>
    </w:p>
    <w:p w14:paraId="59E27C97" w14:textId="77777777" w:rsidR="00971270" w:rsidRDefault="00971270" w:rsidP="0047590E">
      <w:pPr>
        <w:spacing w:after="0" w:line="240" w:lineRule="auto"/>
        <w:jc w:val="center"/>
        <w:rPr>
          <w:rFonts w:ascii="Times New Roman" w:hAnsi="Times New Roman" w:cs="Times New Roman"/>
          <w:b/>
          <w:sz w:val="24"/>
          <w:szCs w:val="24"/>
        </w:rPr>
      </w:pPr>
    </w:p>
    <w:tbl>
      <w:tblPr>
        <w:tblStyle w:val="Lentelstinklelis6"/>
        <w:tblW w:w="9497" w:type="dxa"/>
        <w:tblInd w:w="137" w:type="dxa"/>
        <w:tblLook w:val="04A0" w:firstRow="1" w:lastRow="0" w:firstColumn="1" w:lastColumn="0" w:noHBand="0" w:noVBand="1"/>
      </w:tblPr>
      <w:tblGrid>
        <w:gridCol w:w="828"/>
        <w:gridCol w:w="2716"/>
        <w:gridCol w:w="1984"/>
        <w:gridCol w:w="1985"/>
        <w:gridCol w:w="1984"/>
      </w:tblGrid>
      <w:tr w:rsidR="00971270" w:rsidRPr="00971270" w14:paraId="59E27C99" w14:textId="77777777" w:rsidTr="009F1FBC">
        <w:tc>
          <w:tcPr>
            <w:tcW w:w="9497" w:type="dxa"/>
            <w:gridSpan w:val="5"/>
            <w:shd w:val="clear" w:color="auto" w:fill="DEEAF6" w:themeFill="accent1" w:themeFillTint="33"/>
          </w:tcPr>
          <w:p w14:paraId="59E27C98" w14:textId="77777777" w:rsidR="00971270" w:rsidRPr="00971270" w:rsidRDefault="00971270" w:rsidP="00971270">
            <w:pPr>
              <w:jc w:val="center"/>
              <w:rPr>
                <w:rFonts w:ascii="Times New Roman" w:hAnsi="Times New Roman" w:cs="Times New Roman"/>
                <w:b/>
                <w:sz w:val="24"/>
                <w:szCs w:val="24"/>
              </w:rPr>
            </w:pPr>
            <w:r>
              <w:rPr>
                <w:rFonts w:ascii="Times New Roman" w:hAnsi="Times New Roman" w:cs="Times New Roman"/>
                <w:b/>
                <w:sz w:val="24"/>
                <w:szCs w:val="24"/>
              </w:rPr>
              <w:t>P</w:t>
            </w:r>
            <w:r w:rsidRPr="00971270">
              <w:rPr>
                <w:rFonts w:ascii="Times New Roman" w:hAnsi="Times New Roman" w:cs="Times New Roman"/>
                <w:b/>
                <w:sz w:val="24"/>
                <w:szCs w:val="24"/>
              </w:rPr>
              <w:t>agalbos mokiniui specialistų skaičius švietimo įstaigose</w:t>
            </w:r>
          </w:p>
        </w:tc>
      </w:tr>
      <w:tr w:rsidR="00971270" w:rsidRPr="00971270" w14:paraId="59E27C9D" w14:textId="77777777" w:rsidTr="009F1FBC">
        <w:tc>
          <w:tcPr>
            <w:tcW w:w="828" w:type="dxa"/>
            <w:vMerge w:val="restart"/>
          </w:tcPr>
          <w:p w14:paraId="59E27C9A"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Eil. Nr.</w:t>
            </w:r>
          </w:p>
        </w:tc>
        <w:tc>
          <w:tcPr>
            <w:tcW w:w="2716" w:type="dxa"/>
            <w:vMerge w:val="restart"/>
          </w:tcPr>
          <w:p w14:paraId="59E27C9B"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 xml:space="preserve">Pareigybės pavadinimas </w:t>
            </w:r>
          </w:p>
        </w:tc>
        <w:tc>
          <w:tcPr>
            <w:tcW w:w="5953" w:type="dxa"/>
            <w:gridSpan w:val="3"/>
          </w:tcPr>
          <w:p w14:paraId="59E27C9C"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Specialistų (asmenų) skaičius</w:t>
            </w:r>
          </w:p>
        </w:tc>
      </w:tr>
      <w:tr w:rsidR="00971270" w:rsidRPr="00971270" w14:paraId="59E27CA3" w14:textId="77777777" w:rsidTr="009F1FBC">
        <w:tc>
          <w:tcPr>
            <w:tcW w:w="828" w:type="dxa"/>
            <w:vMerge/>
          </w:tcPr>
          <w:p w14:paraId="59E27C9E" w14:textId="77777777" w:rsidR="00971270" w:rsidRPr="00971270" w:rsidRDefault="00971270" w:rsidP="00971270">
            <w:pPr>
              <w:jc w:val="center"/>
              <w:rPr>
                <w:rFonts w:ascii="Times New Roman" w:hAnsi="Times New Roman" w:cs="Times New Roman"/>
                <w:sz w:val="28"/>
                <w:szCs w:val="28"/>
              </w:rPr>
            </w:pPr>
          </w:p>
        </w:tc>
        <w:tc>
          <w:tcPr>
            <w:tcW w:w="2716" w:type="dxa"/>
            <w:vMerge/>
          </w:tcPr>
          <w:p w14:paraId="59E27C9F" w14:textId="77777777" w:rsidR="00971270" w:rsidRPr="00971270" w:rsidRDefault="00971270" w:rsidP="00971270">
            <w:pPr>
              <w:rPr>
                <w:rFonts w:ascii="Times New Roman" w:hAnsi="Times New Roman" w:cs="Times New Roman"/>
                <w:sz w:val="28"/>
                <w:szCs w:val="28"/>
              </w:rPr>
            </w:pPr>
          </w:p>
        </w:tc>
        <w:tc>
          <w:tcPr>
            <w:tcW w:w="1984" w:type="dxa"/>
          </w:tcPr>
          <w:p w14:paraId="59E27CA0"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2019–2020 m. m.</w:t>
            </w:r>
          </w:p>
        </w:tc>
        <w:tc>
          <w:tcPr>
            <w:tcW w:w="1985" w:type="dxa"/>
          </w:tcPr>
          <w:p w14:paraId="59E27CA1"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2020–2021 m.</w:t>
            </w:r>
            <w:r>
              <w:rPr>
                <w:rFonts w:ascii="Times New Roman" w:hAnsi="Times New Roman" w:cs="Times New Roman"/>
                <w:sz w:val="24"/>
                <w:szCs w:val="24"/>
              </w:rPr>
              <w:t xml:space="preserve"> </w:t>
            </w:r>
            <w:r w:rsidRPr="00971270">
              <w:rPr>
                <w:rFonts w:ascii="Times New Roman" w:hAnsi="Times New Roman" w:cs="Times New Roman"/>
                <w:sz w:val="24"/>
                <w:szCs w:val="24"/>
              </w:rPr>
              <w:t>m.</w:t>
            </w:r>
          </w:p>
        </w:tc>
        <w:tc>
          <w:tcPr>
            <w:tcW w:w="1984" w:type="dxa"/>
          </w:tcPr>
          <w:p w14:paraId="59E27CA2"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2021–2022 m. m.</w:t>
            </w:r>
          </w:p>
        </w:tc>
      </w:tr>
      <w:tr w:rsidR="00971270" w:rsidRPr="00971270" w14:paraId="59E27CA9" w14:textId="77777777" w:rsidTr="009F1FBC">
        <w:tc>
          <w:tcPr>
            <w:tcW w:w="828" w:type="dxa"/>
          </w:tcPr>
          <w:p w14:paraId="59E27CA4"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w:t>
            </w:r>
          </w:p>
        </w:tc>
        <w:tc>
          <w:tcPr>
            <w:tcW w:w="2716" w:type="dxa"/>
          </w:tcPr>
          <w:p w14:paraId="59E27CA5"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Logopedas</w:t>
            </w:r>
          </w:p>
        </w:tc>
        <w:tc>
          <w:tcPr>
            <w:tcW w:w="1984" w:type="dxa"/>
          </w:tcPr>
          <w:p w14:paraId="59E27CA6"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22</w:t>
            </w:r>
          </w:p>
        </w:tc>
        <w:tc>
          <w:tcPr>
            <w:tcW w:w="1985" w:type="dxa"/>
          </w:tcPr>
          <w:p w14:paraId="59E27CA7"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27</w:t>
            </w:r>
          </w:p>
        </w:tc>
        <w:tc>
          <w:tcPr>
            <w:tcW w:w="1984" w:type="dxa"/>
          </w:tcPr>
          <w:p w14:paraId="59E27CA8"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26</w:t>
            </w:r>
          </w:p>
        </w:tc>
      </w:tr>
      <w:tr w:rsidR="00971270" w:rsidRPr="00971270" w14:paraId="59E27CAF" w14:textId="77777777" w:rsidTr="009F1FBC">
        <w:tc>
          <w:tcPr>
            <w:tcW w:w="828" w:type="dxa"/>
          </w:tcPr>
          <w:p w14:paraId="59E27CAA"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2.</w:t>
            </w:r>
          </w:p>
        </w:tc>
        <w:tc>
          <w:tcPr>
            <w:tcW w:w="2716" w:type="dxa"/>
          </w:tcPr>
          <w:p w14:paraId="59E27CAB"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Psichologas</w:t>
            </w:r>
          </w:p>
        </w:tc>
        <w:tc>
          <w:tcPr>
            <w:tcW w:w="1984" w:type="dxa"/>
          </w:tcPr>
          <w:p w14:paraId="59E27CAC"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12</w:t>
            </w:r>
          </w:p>
        </w:tc>
        <w:tc>
          <w:tcPr>
            <w:tcW w:w="1985" w:type="dxa"/>
          </w:tcPr>
          <w:p w14:paraId="59E27CAD"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11</w:t>
            </w:r>
          </w:p>
        </w:tc>
        <w:tc>
          <w:tcPr>
            <w:tcW w:w="1984" w:type="dxa"/>
          </w:tcPr>
          <w:p w14:paraId="59E27CAE"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11</w:t>
            </w:r>
          </w:p>
        </w:tc>
      </w:tr>
      <w:tr w:rsidR="00971270" w:rsidRPr="00971270" w14:paraId="59E27CB5" w14:textId="77777777" w:rsidTr="009F1FBC">
        <w:tc>
          <w:tcPr>
            <w:tcW w:w="828" w:type="dxa"/>
          </w:tcPr>
          <w:p w14:paraId="59E27CB0"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3.</w:t>
            </w:r>
          </w:p>
        </w:tc>
        <w:tc>
          <w:tcPr>
            <w:tcW w:w="2716" w:type="dxa"/>
          </w:tcPr>
          <w:p w14:paraId="59E27CB1"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Socialinis pedagogas</w:t>
            </w:r>
          </w:p>
        </w:tc>
        <w:tc>
          <w:tcPr>
            <w:tcW w:w="1984" w:type="dxa"/>
          </w:tcPr>
          <w:p w14:paraId="59E27CB2"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30</w:t>
            </w:r>
          </w:p>
        </w:tc>
        <w:tc>
          <w:tcPr>
            <w:tcW w:w="1985" w:type="dxa"/>
          </w:tcPr>
          <w:p w14:paraId="59E27CB3"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28</w:t>
            </w:r>
          </w:p>
        </w:tc>
        <w:tc>
          <w:tcPr>
            <w:tcW w:w="1984" w:type="dxa"/>
          </w:tcPr>
          <w:p w14:paraId="59E27CB4"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27</w:t>
            </w:r>
          </w:p>
        </w:tc>
      </w:tr>
      <w:tr w:rsidR="00971270" w:rsidRPr="00971270" w14:paraId="59E27CBB" w14:textId="77777777" w:rsidTr="009F1FBC">
        <w:tc>
          <w:tcPr>
            <w:tcW w:w="828" w:type="dxa"/>
          </w:tcPr>
          <w:p w14:paraId="59E27CB6"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4.</w:t>
            </w:r>
          </w:p>
        </w:tc>
        <w:tc>
          <w:tcPr>
            <w:tcW w:w="2716" w:type="dxa"/>
          </w:tcPr>
          <w:p w14:paraId="59E27CB7" w14:textId="77777777" w:rsidR="00971270" w:rsidRPr="00971270" w:rsidRDefault="00971270" w:rsidP="00971270">
            <w:pPr>
              <w:rPr>
                <w:rFonts w:ascii="Times New Roman" w:hAnsi="Times New Roman" w:cs="Times New Roman"/>
                <w:sz w:val="24"/>
                <w:szCs w:val="24"/>
              </w:rPr>
            </w:pPr>
            <w:r w:rsidRPr="00971270">
              <w:rPr>
                <w:rFonts w:ascii="Times New Roman" w:hAnsi="Times New Roman" w:cs="Times New Roman"/>
                <w:sz w:val="24"/>
                <w:szCs w:val="24"/>
              </w:rPr>
              <w:t>Specialusis pedagogas</w:t>
            </w:r>
          </w:p>
        </w:tc>
        <w:tc>
          <w:tcPr>
            <w:tcW w:w="1984" w:type="dxa"/>
          </w:tcPr>
          <w:p w14:paraId="59E27CB8"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16</w:t>
            </w:r>
          </w:p>
        </w:tc>
        <w:tc>
          <w:tcPr>
            <w:tcW w:w="1985" w:type="dxa"/>
          </w:tcPr>
          <w:p w14:paraId="59E27CB9"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18</w:t>
            </w:r>
          </w:p>
        </w:tc>
        <w:tc>
          <w:tcPr>
            <w:tcW w:w="1984" w:type="dxa"/>
          </w:tcPr>
          <w:p w14:paraId="59E27CBA" w14:textId="77777777" w:rsidR="00971270" w:rsidRPr="00971270" w:rsidRDefault="00971270" w:rsidP="00971270">
            <w:pPr>
              <w:jc w:val="center"/>
              <w:rPr>
                <w:rFonts w:ascii="Times New Roman" w:hAnsi="Times New Roman" w:cs="Times New Roman"/>
                <w:sz w:val="24"/>
                <w:szCs w:val="24"/>
              </w:rPr>
            </w:pPr>
            <w:r w:rsidRPr="00971270">
              <w:rPr>
                <w:rFonts w:ascii="Times New Roman" w:hAnsi="Times New Roman" w:cs="Times New Roman"/>
                <w:sz w:val="24"/>
                <w:szCs w:val="24"/>
              </w:rPr>
              <w:t>18</w:t>
            </w:r>
          </w:p>
        </w:tc>
      </w:tr>
    </w:tbl>
    <w:p w14:paraId="59E27CBC" w14:textId="77777777" w:rsidR="0047590E" w:rsidRDefault="0047590E" w:rsidP="0047590E">
      <w:pPr>
        <w:spacing w:after="0" w:line="240" w:lineRule="auto"/>
        <w:jc w:val="both"/>
        <w:rPr>
          <w:rFonts w:ascii="Times New Roman" w:hAnsi="Times New Roman" w:cs="Times New Roman"/>
          <w:b/>
          <w:sz w:val="24"/>
          <w:szCs w:val="24"/>
        </w:rPr>
      </w:pPr>
    </w:p>
    <w:p w14:paraId="59E27CBD" w14:textId="77777777" w:rsidR="0047590E" w:rsidRPr="0047590E" w:rsidRDefault="0047590E" w:rsidP="0047590E">
      <w:pPr>
        <w:spacing w:after="0" w:line="240" w:lineRule="auto"/>
        <w:ind w:firstLine="851"/>
        <w:jc w:val="both"/>
        <w:rPr>
          <w:rFonts w:ascii="Times New Roman" w:hAnsi="Times New Roman" w:cs="Times New Roman"/>
          <w:sz w:val="24"/>
          <w:szCs w:val="24"/>
        </w:rPr>
      </w:pPr>
      <w:r w:rsidRPr="0047590E">
        <w:rPr>
          <w:rFonts w:ascii="Times New Roman" w:hAnsi="Times New Roman" w:cs="Times New Roman"/>
          <w:sz w:val="24"/>
          <w:szCs w:val="24"/>
        </w:rPr>
        <w:t xml:space="preserve">Atlikus duomenų analizę išryškėjo, kad bendras mokinių skaičius Bendrojo ugdymo mokyklose kasmet mažėja, tačiau mokinių, turinčių specialiųjų ugdymosi poreikių, skaičius ir dalis </w:t>
      </w:r>
      <w:r>
        <w:rPr>
          <w:rFonts w:ascii="Times New Roman" w:hAnsi="Times New Roman" w:cs="Times New Roman"/>
          <w:sz w:val="24"/>
          <w:szCs w:val="24"/>
        </w:rPr>
        <w:t>b</w:t>
      </w:r>
      <w:r w:rsidRPr="0047590E">
        <w:rPr>
          <w:rFonts w:ascii="Times New Roman" w:hAnsi="Times New Roman" w:cs="Times New Roman"/>
          <w:sz w:val="24"/>
          <w:szCs w:val="24"/>
        </w:rPr>
        <w:t>endrojo ugdymo mokyklų bendrosiose klasėse kasmet didėja: 2019 m. – 12,9 proc., 2020 m. – 13,5 proc., 2021 m. – 14,7 proc.</w:t>
      </w:r>
      <w:r w:rsidR="008D41E5">
        <w:rPr>
          <w:rFonts w:ascii="Times New Roman" w:hAnsi="Times New Roman" w:cs="Times New Roman"/>
          <w:sz w:val="24"/>
          <w:szCs w:val="24"/>
        </w:rPr>
        <w:t xml:space="preserve"> </w:t>
      </w:r>
      <w:r w:rsidRPr="0047590E">
        <w:rPr>
          <w:rFonts w:ascii="Times New Roman" w:hAnsi="Times New Roman" w:cs="Times New Roman"/>
          <w:sz w:val="24"/>
          <w:szCs w:val="24"/>
        </w:rPr>
        <w:t>Kryptingas institucijų darbas, pedagogų ir tėvų konsultavimas, mokyklų VGK veikla padeda identifikuoti mokinius, kurie turi specialiųjų ugdymosi poreikių, todėl jų dalis nuo bendro mokinių skaičiaus bendrojo ugdymo mokyklų bendrosiose klasėse didėja.</w:t>
      </w:r>
      <w:r w:rsidR="00971270">
        <w:rPr>
          <w:rFonts w:ascii="Times New Roman" w:hAnsi="Times New Roman" w:cs="Times New Roman"/>
          <w:sz w:val="24"/>
          <w:szCs w:val="24"/>
        </w:rPr>
        <w:t xml:space="preserve"> Taip pat didėja ir mokytojų padėjė</w:t>
      </w:r>
      <w:r w:rsidR="008C1192">
        <w:rPr>
          <w:rFonts w:ascii="Times New Roman" w:hAnsi="Times New Roman" w:cs="Times New Roman"/>
          <w:sz w:val="24"/>
          <w:szCs w:val="24"/>
        </w:rPr>
        <w:t>j</w:t>
      </w:r>
      <w:r w:rsidR="00971270">
        <w:rPr>
          <w:rFonts w:ascii="Times New Roman" w:hAnsi="Times New Roman" w:cs="Times New Roman"/>
          <w:sz w:val="24"/>
          <w:szCs w:val="24"/>
        </w:rPr>
        <w:t>ų</w:t>
      </w:r>
      <w:r w:rsidR="008C1192">
        <w:rPr>
          <w:rFonts w:ascii="Times New Roman" w:hAnsi="Times New Roman" w:cs="Times New Roman"/>
          <w:sz w:val="24"/>
          <w:szCs w:val="24"/>
        </w:rPr>
        <w:t xml:space="preserve"> </w:t>
      </w:r>
      <w:r w:rsidR="00971270">
        <w:rPr>
          <w:rFonts w:ascii="Times New Roman" w:hAnsi="Times New Roman" w:cs="Times New Roman"/>
          <w:sz w:val="24"/>
          <w:szCs w:val="24"/>
        </w:rPr>
        <w:t>etatų skaičius švietimo įstaigose</w:t>
      </w:r>
      <w:r w:rsidR="008C1192">
        <w:rPr>
          <w:rFonts w:ascii="Times New Roman" w:hAnsi="Times New Roman" w:cs="Times New Roman"/>
          <w:sz w:val="24"/>
          <w:szCs w:val="24"/>
        </w:rPr>
        <w:t xml:space="preserve"> (2020–2021 m. m. buvo 36,5 etato, 2021–2022 m. m. yra 46,75 etato)</w:t>
      </w:r>
    </w:p>
    <w:p w14:paraId="59E27CBE" w14:textId="77777777" w:rsidR="0047590E" w:rsidRPr="0047590E" w:rsidRDefault="0047590E" w:rsidP="0047590E">
      <w:pPr>
        <w:spacing w:after="0" w:line="240" w:lineRule="auto"/>
        <w:ind w:firstLine="851"/>
        <w:jc w:val="right"/>
        <w:rPr>
          <w:rFonts w:ascii="Times New Roman" w:hAnsi="Times New Roman" w:cs="Times New Roman"/>
        </w:rPr>
      </w:pPr>
    </w:p>
    <w:tbl>
      <w:tblPr>
        <w:tblStyle w:val="Lentelstinklelis4"/>
        <w:tblW w:w="0" w:type="auto"/>
        <w:tblLook w:val="04A0" w:firstRow="1" w:lastRow="0" w:firstColumn="1" w:lastColumn="0" w:noHBand="0" w:noVBand="1"/>
      </w:tblPr>
      <w:tblGrid>
        <w:gridCol w:w="1604"/>
        <w:gridCol w:w="1604"/>
        <w:gridCol w:w="1605"/>
        <w:gridCol w:w="1605"/>
        <w:gridCol w:w="1605"/>
        <w:gridCol w:w="1605"/>
      </w:tblGrid>
      <w:tr w:rsidR="0047590E" w:rsidRPr="0047590E" w14:paraId="59E27CC0" w14:textId="77777777" w:rsidTr="00D431D4">
        <w:tc>
          <w:tcPr>
            <w:tcW w:w="9628" w:type="dxa"/>
            <w:gridSpan w:val="6"/>
            <w:shd w:val="clear" w:color="auto" w:fill="DEEAF6" w:themeFill="accent1" w:themeFillTint="33"/>
          </w:tcPr>
          <w:p w14:paraId="59E27CBF" w14:textId="77777777" w:rsidR="0047590E" w:rsidRPr="0047590E" w:rsidRDefault="0047590E" w:rsidP="0047590E">
            <w:pPr>
              <w:jc w:val="center"/>
              <w:rPr>
                <w:rFonts w:ascii="Times New Roman" w:hAnsi="Times New Roman" w:cs="Times New Roman"/>
                <w:b/>
                <w:sz w:val="24"/>
                <w:szCs w:val="24"/>
              </w:rPr>
            </w:pPr>
            <w:r w:rsidRPr="0047590E">
              <w:rPr>
                <w:rFonts w:ascii="Times New Roman" w:hAnsi="Times New Roman" w:cs="Times New Roman"/>
                <w:b/>
                <w:sz w:val="24"/>
                <w:szCs w:val="24"/>
              </w:rPr>
              <w:t>Mokinių, turinčių specialiųjų ugdymosi poreikių, ugdomų integruotai bendrosios paskirties mokyklose, skaičius ir dalis</w:t>
            </w:r>
          </w:p>
        </w:tc>
      </w:tr>
      <w:tr w:rsidR="0047590E" w:rsidRPr="0047590E" w14:paraId="59E27CC4" w14:textId="77777777" w:rsidTr="00DB47AF">
        <w:tc>
          <w:tcPr>
            <w:tcW w:w="3208" w:type="dxa"/>
            <w:gridSpan w:val="2"/>
          </w:tcPr>
          <w:p w14:paraId="59E27CC1"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2019</w:t>
            </w:r>
            <w:r>
              <w:rPr>
                <w:rFonts w:ascii="Times New Roman" w:hAnsi="Times New Roman" w:cs="Times New Roman"/>
                <w:sz w:val="24"/>
                <w:szCs w:val="24"/>
              </w:rPr>
              <w:t xml:space="preserve"> m.</w:t>
            </w:r>
          </w:p>
        </w:tc>
        <w:tc>
          <w:tcPr>
            <w:tcW w:w="3210" w:type="dxa"/>
            <w:gridSpan w:val="2"/>
          </w:tcPr>
          <w:p w14:paraId="59E27CC2"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2020</w:t>
            </w:r>
            <w:r>
              <w:rPr>
                <w:rFonts w:ascii="Times New Roman" w:hAnsi="Times New Roman" w:cs="Times New Roman"/>
                <w:sz w:val="24"/>
                <w:szCs w:val="24"/>
              </w:rPr>
              <w:t xml:space="preserve"> m.</w:t>
            </w:r>
          </w:p>
        </w:tc>
        <w:tc>
          <w:tcPr>
            <w:tcW w:w="3210" w:type="dxa"/>
            <w:gridSpan w:val="2"/>
          </w:tcPr>
          <w:p w14:paraId="59E27CC3"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2021</w:t>
            </w:r>
            <w:r>
              <w:rPr>
                <w:rFonts w:ascii="Times New Roman" w:hAnsi="Times New Roman" w:cs="Times New Roman"/>
                <w:sz w:val="24"/>
                <w:szCs w:val="24"/>
              </w:rPr>
              <w:t xml:space="preserve"> m.</w:t>
            </w:r>
          </w:p>
        </w:tc>
      </w:tr>
      <w:tr w:rsidR="0047590E" w:rsidRPr="0047590E" w14:paraId="59E27CCB" w14:textId="77777777" w:rsidTr="00DB47AF">
        <w:tc>
          <w:tcPr>
            <w:tcW w:w="1604" w:type="dxa"/>
          </w:tcPr>
          <w:p w14:paraId="59E27CC5"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552</w:t>
            </w:r>
          </w:p>
        </w:tc>
        <w:tc>
          <w:tcPr>
            <w:tcW w:w="1604" w:type="dxa"/>
          </w:tcPr>
          <w:p w14:paraId="59E27CC6"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12,9</w:t>
            </w:r>
          </w:p>
        </w:tc>
        <w:tc>
          <w:tcPr>
            <w:tcW w:w="1605" w:type="dxa"/>
          </w:tcPr>
          <w:p w14:paraId="59E27CC7"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558</w:t>
            </w:r>
          </w:p>
        </w:tc>
        <w:tc>
          <w:tcPr>
            <w:tcW w:w="1605" w:type="dxa"/>
          </w:tcPr>
          <w:p w14:paraId="59E27CC8"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13,5</w:t>
            </w:r>
          </w:p>
        </w:tc>
        <w:tc>
          <w:tcPr>
            <w:tcW w:w="1605" w:type="dxa"/>
          </w:tcPr>
          <w:p w14:paraId="59E27CC9"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572</w:t>
            </w:r>
          </w:p>
        </w:tc>
        <w:tc>
          <w:tcPr>
            <w:tcW w:w="1605" w:type="dxa"/>
          </w:tcPr>
          <w:p w14:paraId="59E27CCA"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14,7</w:t>
            </w:r>
          </w:p>
        </w:tc>
      </w:tr>
    </w:tbl>
    <w:p w14:paraId="59E27CCC" w14:textId="77777777" w:rsidR="0047590E" w:rsidRPr="0047590E" w:rsidRDefault="0047590E" w:rsidP="0047590E">
      <w:pPr>
        <w:spacing w:after="0" w:line="240" w:lineRule="auto"/>
        <w:ind w:firstLine="851"/>
        <w:jc w:val="center"/>
        <w:rPr>
          <w:rFonts w:ascii="Times New Roman" w:hAnsi="Times New Roman" w:cs="Times New Roman"/>
        </w:rPr>
      </w:pPr>
    </w:p>
    <w:tbl>
      <w:tblPr>
        <w:tblStyle w:val="Lentelstinklelis5"/>
        <w:tblW w:w="0" w:type="auto"/>
        <w:tblLook w:val="04A0" w:firstRow="1" w:lastRow="0" w:firstColumn="1" w:lastColumn="0" w:noHBand="0" w:noVBand="1"/>
      </w:tblPr>
      <w:tblGrid>
        <w:gridCol w:w="704"/>
        <w:gridCol w:w="3402"/>
        <w:gridCol w:w="1843"/>
        <w:gridCol w:w="1843"/>
        <w:gridCol w:w="1836"/>
      </w:tblGrid>
      <w:tr w:rsidR="00F7437D" w:rsidRPr="00F7437D" w14:paraId="59E27CD0" w14:textId="77777777" w:rsidTr="00D431D4">
        <w:tc>
          <w:tcPr>
            <w:tcW w:w="704" w:type="dxa"/>
            <w:vMerge w:val="restart"/>
          </w:tcPr>
          <w:p w14:paraId="59E27CCD" w14:textId="77777777" w:rsidR="00F7437D" w:rsidRPr="00F7437D" w:rsidRDefault="00F7437D" w:rsidP="00F7437D">
            <w:pPr>
              <w:jc w:val="center"/>
              <w:rPr>
                <w:rFonts w:ascii="Times New Roman" w:hAnsi="Times New Roman" w:cs="Times New Roman"/>
                <w:sz w:val="24"/>
                <w:szCs w:val="24"/>
              </w:rPr>
            </w:pPr>
          </w:p>
        </w:tc>
        <w:tc>
          <w:tcPr>
            <w:tcW w:w="3402" w:type="dxa"/>
            <w:vMerge w:val="restart"/>
          </w:tcPr>
          <w:p w14:paraId="59E27CCE" w14:textId="77777777" w:rsidR="00F7437D" w:rsidRPr="00F7437D" w:rsidRDefault="00F7437D" w:rsidP="00F7437D">
            <w:pPr>
              <w:jc w:val="center"/>
              <w:rPr>
                <w:rFonts w:ascii="Times New Roman" w:hAnsi="Times New Roman" w:cs="Times New Roman"/>
                <w:sz w:val="24"/>
                <w:szCs w:val="24"/>
              </w:rPr>
            </w:pPr>
          </w:p>
        </w:tc>
        <w:tc>
          <w:tcPr>
            <w:tcW w:w="5522" w:type="dxa"/>
            <w:gridSpan w:val="3"/>
          </w:tcPr>
          <w:p w14:paraId="59E27CCF" w14:textId="77777777" w:rsidR="00F7437D" w:rsidRPr="00D03DA7" w:rsidRDefault="00F7437D" w:rsidP="00D03DA7">
            <w:pPr>
              <w:jc w:val="both"/>
              <w:rPr>
                <w:rFonts w:ascii="Times New Roman" w:hAnsi="Times New Roman" w:cs="Times New Roman"/>
                <w:sz w:val="18"/>
                <w:szCs w:val="18"/>
              </w:rPr>
            </w:pPr>
            <w:r w:rsidRPr="00D03DA7">
              <w:rPr>
                <w:rFonts w:ascii="Times New Roman" w:hAnsi="Times New Roman" w:cs="Times New Roman"/>
                <w:i/>
                <w:sz w:val="18"/>
                <w:szCs w:val="18"/>
              </w:rPr>
              <w:t>(pateikti duomenys – bendrojo ugdymo mokyklų bendrosiose klasėse)</w:t>
            </w:r>
          </w:p>
        </w:tc>
      </w:tr>
      <w:tr w:rsidR="00F7437D" w:rsidRPr="00F7437D" w14:paraId="59E27CD6" w14:textId="77777777" w:rsidTr="00D431D4">
        <w:tc>
          <w:tcPr>
            <w:tcW w:w="704" w:type="dxa"/>
            <w:vMerge/>
          </w:tcPr>
          <w:p w14:paraId="59E27CD1" w14:textId="77777777" w:rsidR="00F7437D" w:rsidRPr="00F7437D" w:rsidRDefault="00F7437D" w:rsidP="00F7437D">
            <w:pPr>
              <w:jc w:val="center"/>
              <w:rPr>
                <w:rFonts w:ascii="Times New Roman" w:hAnsi="Times New Roman" w:cs="Times New Roman"/>
                <w:sz w:val="24"/>
                <w:szCs w:val="24"/>
              </w:rPr>
            </w:pPr>
          </w:p>
        </w:tc>
        <w:tc>
          <w:tcPr>
            <w:tcW w:w="3402" w:type="dxa"/>
            <w:vMerge/>
          </w:tcPr>
          <w:p w14:paraId="59E27CD2" w14:textId="77777777" w:rsidR="00F7437D" w:rsidRPr="00F7437D" w:rsidRDefault="00F7437D" w:rsidP="00F7437D">
            <w:pPr>
              <w:jc w:val="center"/>
              <w:rPr>
                <w:rFonts w:ascii="Times New Roman" w:hAnsi="Times New Roman" w:cs="Times New Roman"/>
                <w:sz w:val="24"/>
                <w:szCs w:val="24"/>
              </w:rPr>
            </w:pPr>
          </w:p>
        </w:tc>
        <w:tc>
          <w:tcPr>
            <w:tcW w:w="1843" w:type="dxa"/>
          </w:tcPr>
          <w:p w14:paraId="59E27CD3"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2019 m.</w:t>
            </w:r>
          </w:p>
        </w:tc>
        <w:tc>
          <w:tcPr>
            <w:tcW w:w="1843" w:type="dxa"/>
          </w:tcPr>
          <w:p w14:paraId="59E27CD4"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2020 m.</w:t>
            </w:r>
          </w:p>
        </w:tc>
        <w:tc>
          <w:tcPr>
            <w:tcW w:w="1836" w:type="dxa"/>
          </w:tcPr>
          <w:p w14:paraId="59E27CD5"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2021 m.</w:t>
            </w:r>
          </w:p>
        </w:tc>
      </w:tr>
      <w:tr w:rsidR="00F7437D" w:rsidRPr="00F7437D" w14:paraId="59E27CDC" w14:textId="77777777" w:rsidTr="00D431D4">
        <w:tc>
          <w:tcPr>
            <w:tcW w:w="704" w:type="dxa"/>
          </w:tcPr>
          <w:p w14:paraId="59E27CD7"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1.</w:t>
            </w:r>
          </w:p>
        </w:tc>
        <w:tc>
          <w:tcPr>
            <w:tcW w:w="3402" w:type="dxa"/>
          </w:tcPr>
          <w:p w14:paraId="59E27CD8"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Mokinių skaičius</w:t>
            </w:r>
          </w:p>
        </w:tc>
        <w:tc>
          <w:tcPr>
            <w:tcW w:w="1843" w:type="dxa"/>
          </w:tcPr>
          <w:p w14:paraId="59E27CD9"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4281</w:t>
            </w:r>
          </w:p>
        </w:tc>
        <w:tc>
          <w:tcPr>
            <w:tcW w:w="1843" w:type="dxa"/>
          </w:tcPr>
          <w:p w14:paraId="59E27CDA"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4127</w:t>
            </w:r>
          </w:p>
        </w:tc>
        <w:tc>
          <w:tcPr>
            <w:tcW w:w="1836" w:type="dxa"/>
          </w:tcPr>
          <w:p w14:paraId="59E27CDB"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3887</w:t>
            </w:r>
          </w:p>
        </w:tc>
      </w:tr>
      <w:tr w:rsidR="00F7437D" w:rsidRPr="00F7437D" w14:paraId="59E27CE2" w14:textId="77777777" w:rsidTr="00D431D4">
        <w:tc>
          <w:tcPr>
            <w:tcW w:w="704" w:type="dxa"/>
          </w:tcPr>
          <w:p w14:paraId="59E27CDD"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2.</w:t>
            </w:r>
          </w:p>
        </w:tc>
        <w:tc>
          <w:tcPr>
            <w:tcW w:w="3402" w:type="dxa"/>
          </w:tcPr>
          <w:p w14:paraId="59E27CDE" w14:textId="77777777" w:rsidR="00F7437D" w:rsidRPr="00F7437D" w:rsidRDefault="00F7437D" w:rsidP="00D431D4">
            <w:pPr>
              <w:rPr>
                <w:rFonts w:ascii="Times New Roman" w:hAnsi="Times New Roman" w:cs="Times New Roman"/>
                <w:sz w:val="24"/>
                <w:szCs w:val="24"/>
              </w:rPr>
            </w:pPr>
            <w:r w:rsidRPr="00F7437D">
              <w:rPr>
                <w:rFonts w:ascii="Times New Roman" w:hAnsi="Times New Roman" w:cs="Times New Roman"/>
                <w:sz w:val="24"/>
                <w:szCs w:val="24"/>
              </w:rPr>
              <w:t xml:space="preserve">SUP mokinių skaičius ir dalis </w:t>
            </w:r>
          </w:p>
        </w:tc>
        <w:tc>
          <w:tcPr>
            <w:tcW w:w="1843" w:type="dxa"/>
          </w:tcPr>
          <w:p w14:paraId="59E27CDF"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 xml:space="preserve">552 (12,9 proc.) </w:t>
            </w:r>
          </w:p>
        </w:tc>
        <w:tc>
          <w:tcPr>
            <w:tcW w:w="1843" w:type="dxa"/>
          </w:tcPr>
          <w:p w14:paraId="59E27CE0"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558 (13,5 proc.)</w:t>
            </w:r>
          </w:p>
        </w:tc>
        <w:tc>
          <w:tcPr>
            <w:tcW w:w="1836" w:type="dxa"/>
          </w:tcPr>
          <w:p w14:paraId="59E27CE1"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572 (14,7 proc.)</w:t>
            </w:r>
          </w:p>
        </w:tc>
      </w:tr>
      <w:tr w:rsidR="00F7437D" w:rsidRPr="00F7437D" w14:paraId="59E27CE8" w14:textId="77777777" w:rsidTr="00D431D4">
        <w:tc>
          <w:tcPr>
            <w:tcW w:w="704" w:type="dxa"/>
          </w:tcPr>
          <w:p w14:paraId="59E27CE3"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3.</w:t>
            </w:r>
          </w:p>
        </w:tc>
        <w:tc>
          <w:tcPr>
            <w:tcW w:w="3402" w:type="dxa"/>
          </w:tcPr>
          <w:p w14:paraId="59E27CE4"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 xml:space="preserve">Mokinių, turinčių kalbėjimo ir kalbos sutrikimų:  </w:t>
            </w:r>
          </w:p>
        </w:tc>
        <w:tc>
          <w:tcPr>
            <w:tcW w:w="1843" w:type="dxa"/>
          </w:tcPr>
          <w:p w14:paraId="59E27CE5" w14:textId="77777777" w:rsidR="00F7437D" w:rsidRPr="00F7437D" w:rsidRDefault="00F7437D" w:rsidP="00F7437D">
            <w:pPr>
              <w:jc w:val="center"/>
              <w:rPr>
                <w:rFonts w:ascii="Times New Roman" w:hAnsi="Times New Roman" w:cs="Times New Roman"/>
                <w:sz w:val="24"/>
                <w:szCs w:val="24"/>
              </w:rPr>
            </w:pPr>
          </w:p>
        </w:tc>
        <w:tc>
          <w:tcPr>
            <w:tcW w:w="1843" w:type="dxa"/>
          </w:tcPr>
          <w:p w14:paraId="59E27CE6" w14:textId="77777777" w:rsidR="00F7437D" w:rsidRPr="00F7437D" w:rsidRDefault="00F7437D" w:rsidP="00F7437D">
            <w:pPr>
              <w:jc w:val="center"/>
              <w:rPr>
                <w:rFonts w:ascii="Times New Roman" w:hAnsi="Times New Roman" w:cs="Times New Roman"/>
                <w:sz w:val="24"/>
                <w:szCs w:val="24"/>
              </w:rPr>
            </w:pPr>
          </w:p>
        </w:tc>
        <w:tc>
          <w:tcPr>
            <w:tcW w:w="1836" w:type="dxa"/>
          </w:tcPr>
          <w:p w14:paraId="59E27CE7" w14:textId="77777777" w:rsidR="00F7437D" w:rsidRPr="00F7437D" w:rsidRDefault="00F7437D" w:rsidP="00F7437D">
            <w:pPr>
              <w:jc w:val="center"/>
              <w:rPr>
                <w:rFonts w:ascii="Times New Roman" w:hAnsi="Times New Roman" w:cs="Times New Roman"/>
                <w:sz w:val="24"/>
                <w:szCs w:val="24"/>
              </w:rPr>
            </w:pPr>
          </w:p>
        </w:tc>
      </w:tr>
      <w:tr w:rsidR="00F7437D" w:rsidRPr="00F7437D" w14:paraId="59E27CEE" w14:textId="77777777" w:rsidTr="00D431D4">
        <w:trPr>
          <w:trHeight w:val="343"/>
        </w:trPr>
        <w:tc>
          <w:tcPr>
            <w:tcW w:w="704" w:type="dxa"/>
          </w:tcPr>
          <w:p w14:paraId="59E27CE9"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3.1.</w:t>
            </w:r>
          </w:p>
        </w:tc>
        <w:tc>
          <w:tcPr>
            <w:tcW w:w="3402" w:type="dxa"/>
          </w:tcPr>
          <w:p w14:paraId="59E27CEA" w14:textId="77777777" w:rsidR="00F7437D" w:rsidRPr="00F7437D" w:rsidRDefault="00F7437D" w:rsidP="00F7437D">
            <w:pPr>
              <w:jc w:val="right"/>
              <w:rPr>
                <w:rFonts w:ascii="Times New Roman" w:hAnsi="Times New Roman" w:cs="Times New Roman"/>
                <w:i/>
                <w:sz w:val="24"/>
                <w:szCs w:val="24"/>
              </w:rPr>
            </w:pPr>
            <w:r w:rsidRPr="00F7437D">
              <w:rPr>
                <w:rFonts w:ascii="Times New Roman" w:hAnsi="Times New Roman" w:cs="Times New Roman"/>
                <w:i/>
                <w:sz w:val="24"/>
                <w:szCs w:val="24"/>
              </w:rPr>
              <w:t>skaičius</w:t>
            </w:r>
          </w:p>
        </w:tc>
        <w:tc>
          <w:tcPr>
            <w:tcW w:w="1843" w:type="dxa"/>
          </w:tcPr>
          <w:p w14:paraId="59E27CEB" w14:textId="77777777" w:rsidR="00F7437D" w:rsidRPr="00F7437D" w:rsidRDefault="00F7437D" w:rsidP="00D431D4">
            <w:pPr>
              <w:jc w:val="center"/>
              <w:rPr>
                <w:rFonts w:ascii="Times New Roman" w:hAnsi="Times New Roman" w:cs="Times New Roman"/>
                <w:sz w:val="24"/>
                <w:szCs w:val="24"/>
              </w:rPr>
            </w:pPr>
            <w:r w:rsidRPr="00F7437D">
              <w:rPr>
                <w:rFonts w:ascii="Times New Roman" w:hAnsi="Times New Roman" w:cs="Times New Roman"/>
                <w:sz w:val="24"/>
                <w:szCs w:val="24"/>
              </w:rPr>
              <w:t>263</w:t>
            </w:r>
          </w:p>
        </w:tc>
        <w:tc>
          <w:tcPr>
            <w:tcW w:w="1843" w:type="dxa"/>
          </w:tcPr>
          <w:p w14:paraId="59E27CEC"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286</w:t>
            </w:r>
          </w:p>
        </w:tc>
        <w:tc>
          <w:tcPr>
            <w:tcW w:w="1836" w:type="dxa"/>
          </w:tcPr>
          <w:p w14:paraId="59E27CED" w14:textId="77777777" w:rsidR="00F7437D" w:rsidRPr="00F7437D" w:rsidRDefault="00F7437D" w:rsidP="00D431D4">
            <w:pPr>
              <w:jc w:val="center"/>
              <w:rPr>
                <w:rFonts w:ascii="Times New Roman" w:hAnsi="Times New Roman" w:cs="Times New Roman"/>
                <w:sz w:val="24"/>
                <w:szCs w:val="24"/>
              </w:rPr>
            </w:pPr>
            <w:r w:rsidRPr="00F7437D">
              <w:rPr>
                <w:rFonts w:ascii="Times New Roman" w:hAnsi="Times New Roman" w:cs="Times New Roman"/>
                <w:sz w:val="24"/>
                <w:szCs w:val="24"/>
              </w:rPr>
              <w:t>301</w:t>
            </w:r>
          </w:p>
        </w:tc>
      </w:tr>
      <w:tr w:rsidR="00F7437D" w:rsidRPr="00F7437D" w14:paraId="59E27CF4" w14:textId="77777777" w:rsidTr="00D431D4">
        <w:trPr>
          <w:trHeight w:val="278"/>
        </w:trPr>
        <w:tc>
          <w:tcPr>
            <w:tcW w:w="704" w:type="dxa"/>
          </w:tcPr>
          <w:p w14:paraId="59E27CEF"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3.2.</w:t>
            </w:r>
          </w:p>
        </w:tc>
        <w:tc>
          <w:tcPr>
            <w:tcW w:w="3402" w:type="dxa"/>
          </w:tcPr>
          <w:p w14:paraId="59E27CF0" w14:textId="77777777" w:rsidR="00F7437D" w:rsidRPr="00F7437D" w:rsidRDefault="00F7437D" w:rsidP="00D431D4">
            <w:pPr>
              <w:jc w:val="right"/>
              <w:rPr>
                <w:rFonts w:ascii="Times New Roman" w:hAnsi="Times New Roman" w:cs="Times New Roman"/>
                <w:i/>
                <w:sz w:val="24"/>
                <w:szCs w:val="24"/>
              </w:rPr>
            </w:pPr>
            <w:r w:rsidRPr="00F7437D">
              <w:rPr>
                <w:rFonts w:ascii="Times New Roman" w:hAnsi="Times New Roman" w:cs="Times New Roman"/>
                <w:i/>
                <w:sz w:val="24"/>
                <w:szCs w:val="24"/>
              </w:rPr>
              <w:t xml:space="preserve">dalis nuo SUP turinčių </w:t>
            </w:r>
          </w:p>
        </w:tc>
        <w:tc>
          <w:tcPr>
            <w:tcW w:w="1843" w:type="dxa"/>
          </w:tcPr>
          <w:p w14:paraId="59E27CF1" w14:textId="77777777" w:rsidR="00F7437D" w:rsidRPr="00F7437D" w:rsidRDefault="00F7437D" w:rsidP="00D431D4">
            <w:pPr>
              <w:jc w:val="center"/>
              <w:rPr>
                <w:rFonts w:ascii="Times New Roman" w:hAnsi="Times New Roman" w:cs="Times New Roman"/>
                <w:sz w:val="24"/>
                <w:szCs w:val="24"/>
              </w:rPr>
            </w:pPr>
            <w:r w:rsidRPr="00F7437D">
              <w:rPr>
                <w:rFonts w:ascii="Times New Roman" w:hAnsi="Times New Roman" w:cs="Times New Roman"/>
                <w:sz w:val="24"/>
                <w:szCs w:val="24"/>
              </w:rPr>
              <w:t>47,6 proc.</w:t>
            </w:r>
          </w:p>
        </w:tc>
        <w:tc>
          <w:tcPr>
            <w:tcW w:w="1843" w:type="dxa"/>
          </w:tcPr>
          <w:p w14:paraId="59E27CF2"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51,3 proc.</w:t>
            </w:r>
          </w:p>
        </w:tc>
        <w:tc>
          <w:tcPr>
            <w:tcW w:w="1836" w:type="dxa"/>
          </w:tcPr>
          <w:p w14:paraId="59E27CF3" w14:textId="77777777" w:rsidR="00F7437D" w:rsidRPr="00F7437D" w:rsidRDefault="00F7437D" w:rsidP="00D431D4">
            <w:pPr>
              <w:jc w:val="center"/>
              <w:rPr>
                <w:rFonts w:ascii="Times New Roman" w:hAnsi="Times New Roman" w:cs="Times New Roman"/>
                <w:sz w:val="24"/>
                <w:szCs w:val="24"/>
              </w:rPr>
            </w:pPr>
            <w:r w:rsidRPr="00F7437D">
              <w:rPr>
                <w:rFonts w:ascii="Times New Roman" w:hAnsi="Times New Roman" w:cs="Times New Roman"/>
                <w:sz w:val="24"/>
                <w:szCs w:val="24"/>
              </w:rPr>
              <w:t>52,6 proc.</w:t>
            </w:r>
          </w:p>
        </w:tc>
      </w:tr>
      <w:tr w:rsidR="00F7437D" w:rsidRPr="00F7437D" w14:paraId="59E27CFA" w14:textId="77777777" w:rsidTr="00D431D4">
        <w:tc>
          <w:tcPr>
            <w:tcW w:w="704" w:type="dxa"/>
          </w:tcPr>
          <w:p w14:paraId="59E27CF5" w14:textId="77777777" w:rsidR="00F7437D" w:rsidRPr="00F7437D" w:rsidRDefault="00F7437D" w:rsidP="00F7437D">
            <w:pPr>
              <w:rPr>
                <w:rFonts w:ascii="Times New Roman" w:hAnsi="Times New Roman" w:cs="Times New Roman"/>
                <w:sz w:val="24"/>
                <w:szCs w:val="24"/>
              </w:rPr>
            </w:pPr>
            <w:r w:rsidRPr="00F7437D">
              <w:rPr>
                <w:rFonts w:ascii="Times New Roman" w:hAnsi="Times New Roman" w:cs="Times New Roman"/>
                <w:sz w:val="24"/>
                <w:szCs w:val="24"/>
              </w:rPr>
              <w:t>3.3.</w:t>
            </w:r>
          </w:p>
        </w:tc>
        <w:tc>
          <w:tcPr>
            <w:tcW w:w="3402" w:type="dxa"/>
          </w:tcPr>
          <w:p w14:paraId="59E27CF6" w14:textId="77777777" w:rsidR="00F7437D" w:rsidRPr="00F7437D" w:rsidRDefault="00F7437D" w:rsidP="00D431D4">
            <w:pPr>
              <w:rPr>
                <w:rFonts w:ascii="Times New Roman" w:hAnsi="Times New Roman" w:cs="Times New Roman"/>
                <w:i/>
                <w:sz w:val="24"/>
                <w:szCs w:val="24"/>
              </w:rPr>
            </w:pPr>
            <w:r w:rsidRPr="00F7437D">
              <w:rPr>
                <w:rFonts w:ascii="Times New Roman" w:hAnsi="Times New Roman" w:cs="Times New Roman"/>
                <w:i/>
                <w:sz w:val="24"/>
                <w:szCs w:val="24"/>
              </w:rPr>
              <w:t xml:space="preserve">dalis nuo viso mokinių skaičiaus </w:t>
            </w:r>
          </w:p>
        </w:tc>
        <w:tc>
          <w:tcPr>
            <w:tcW w:w="1843" w:type="dxa"/>
          </w:tcPr>
          <w:p w14:paraId="59E27CF7"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6,14 proc.</w:t>
            </w:r>
          </w:p>
        </w:tc>
        <w:tc>
          <w:tcPr>
            <w:tcW w:w="1843" w:type="dxa"/>
          </w:tcPr>
          <w:p w14:paraId="59E27CF8"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6,9 proc.</w:t>
            </w:r>
          </w:p>
        </w:tc>
        <w:tc>
          <w:tcPr>
            <w:tcW w:w="1836" w:type="dxa"/>
          </w:tcPr>
          <w:p w14:paraId="59E27CF9" w14:textId="77777777" w:rsidR="00F7437D" w:rsidRPr="00F7437D" w:rsidRDefault="00F7437D" w:rsidP="00F7437D">
            <w:pPr>
              <w:jc w:val="center"/>
              <w:rPr>
                <w:rFonts w:ascii="Times New Roman" w:hAnsi="Times New Roman" w:cs="Times New Roman"/>
                <w:sz w:val="24"/>
                <w:szCs w:val="24"/>
              </w:rPr>
            </w:pPr>
            <w:r w:rsidRPr="00F7437D">
              <w:rPr>
                <w:rFonts w:ascii="Times New Roman" w:hAnsi="Times New Roman" w:cs="Times New Roman"/>
                <w:sz w:val="24"/>
                <w:szCs w:val="24"/>
              </w:rPr>
              <w:t>7,7 proc.</w:t>
            </w:r>
          </w:p>
        </w:tc>
      </w:tr>
    </w:tbl>
    <w:p w14:paraId="59E27CFB" w14:textId="77777777" w:rsidR="00F7437D" w:rsidRDefault="00F7437D" w:rsidP="0047590E">
      <w:pPr>
        <w:spacing w:after="0" w:line="240" w:lineRule="auto"/>
        <w:ind w:firstLine="851"/>
        <w:jc w:val="both"/>
        <w:rPr>
          <w:rFonts w:ascii="Times New Roman" w:hAnsi="Times New Roman" w:cs="Times New Roman"/>
          <w:sz w:val="24"/>
          <w:szCs w:val="24"/>
        </w:rPr>
      </w:pPr>
    </w:p>
    <w:p w14:paraId="59E27CFC" w14:textId="77777777" w:rsidR="0047590E" w:rsidRPr="0047590E" w:rsidRDefault="0047590E" w:rsidP="0047590E">
      <w:pPr>
        <w:spacing w:after="0" w:line="240" w:lineRule="auto"/>
        <w:ind w:firstLine="851"/>
        <w:jc w:val="both"/>
        <w:rPr>
          <w:rFonts w:ascii="Times New Roman" w:hAnsi="Times New Roman" w:cs="Times New Roman"/>
          <w:sz w:val="24"/>
          <w:szCs w:val="24"/>
        </w:rPr>
      </w:pPr>
      <w:r w:rsidRPr="0047590E">
        <w:rPr>
          <w:rFonts w:ascii="Times New Roman" w:hAnsi="Times New Roman" w:cs="Times New Roman"/>
          <w:sz w:val="24"/>
          <w:szCs w:val="24"/>
        </w:rPr>
        <w:t>Negalią turinčių mokinių dalis nuo mokinių, turinčių specialiųjų ugdymosi poreikių, ugdomų integruotai bendrosios paskirties mokyklose, skaičius ir dalis mažėja. Vilkaviškio r. Kybartų „Rasos“ mokykloje, skirtoje intelekto sutrikimą turintiems mokiniams, negalią turinčių mokinių skaičius paskutinius trejus metus išlieka toks pats ir dalis didėja</w:t>
      </w:r>
      <w:r w:rsidR="0035304B">
        <w:rPr>
          <w:rFonts w:ascii="Times New Roman" w:hAnsi="Times New Roman" w:cs="Times New Roman"/>
          <w:sz w:val="24"/>
          <w:szCs w:val="24"/>
        </w:rPr>
        <w:t>:</w:t>
      </w:r>
      <w:r w:rsidRPr="0047590E">
        <w:rPr>
          <w:rFonts w:ascii="Times New Roman" w:hAnsi="Times New Roman" w:cs="Times New Roman"/>
          <w:sz w:val="24"/>
          <w:szCs w:val="24"/>
        </w:rPr>
        <w:t xml:space="preserve"> </w:t>
      </w:r>
    </w:p>
    <w:p w14:paraId="59E27CFD" w14:textId="77777777" w:rsidR="0047590E" w:rsidRPr="0047590E" w:rsidRDefault="0047590E" w:rsidP="0047590E">
      <w:pPr>
        <w:spacing w:after="0" w:line="240" w:lineRule="auto"/>
        <w:ind w:firstLine="851"/>
        <w:jc w:val="both"/>
        <w:rPr>
          <w:rFonts w:ascii="Times New Roman" w:hAnsi="Times New Roman" w:cs="Times New Roman"/>
        </w:rPr>
      </w:pPr>
    </w:p>
    <w:tbl>
      <w:tblPr>
        <w:tblStyle w:val="Lentelstinklelis4"/>
        <w:tblW w:w="0" w:type="auto"/>
        <w:tblLook w:val="04A0" w:firstRow="1" w:lastRow="0" w:firstColumn="1" w:lastColumn="0" w:noHBand="0" w:noVBand="1"/>
      </w:tblPr>
      <w:tblGrid>
        <w:gridCol w:w="2205"/>
        <w:gridCol w:w="1192"/>
        <w:gridCol w:w="1276"/>
        <w:gridCol w:w="1099"/>
        <w:gridCol w:w="1277"/>
        <w:gridCol w:w="1302"/>
        <w:gridCol w:w="1277"/>
      </w:tblGrid>
      <w:tr w:rsidR="0047590E" w:rsidRPr="0047590E" w14:paraId="59E27D01" w14:textId="77777777" w:rsidTr="00D03DA7">
        <w:tc>
          <w:tcPr>
            <w:tcW w:w="2205" w:type="dxa"/>
            <w:vMerge w:val="restart"/>
          </w:tcPr>
          <w:p w14:paraId="59E27CFE" w14:textId="77777777" w:rsidR="0047590E" w:rsidRPr="0047590E" w:rsidRDefault="0047590E" w:rsidP="0047590E">
            <w:pPr>
              <w:rPr>
                <w:rFonts w:ascii="Times New Roman" w:hAnsi="Times New Roman" w:cs="Times New Roman"/>
                <w:sz w:val="24"/>
                <w:szCs w:val="24"/>
              </w:rPr>
            </w:pPr>
          </w:p>
          <w:p w14:paraId="59E27CFF"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Mokyklos</w:t>
            </w:r>
          </w:p>
        </w:tc>
        <w:tc>
          <w:tcPr>
            <w:tcW w:w="7423" w:type="dxa"/>
            <w:gridSpan w:val="6"/>
            <w:shd w:val="clear" w:color="auto" w:fill="DEEAF6" w:themeFill="accent1" w:themeFillTint="33"/>
          </w:tcPr>
          <w:p w14:paraId="59E27D00"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Mokiniai su negalia</w:t>
            </w:r>
          </w:p>
        </w:tc>
      </w:tr>
      <w:tr w:rsidR="0047590E" w:rsidRPr="0047590E" w14:paraId="59E27D06" w14:textId="77777777" w:rsidTr="00D03DA7">
        <w:tc>
          <w:tcPr>
            <w:tcW w:w="2205" w:type="dxa"/>
            <w:vMerge/>
          </w:tcPr>
          <w:p w14:paraId="59E27D02" w14:textId="77777777" w:rsidR="0047590E" w:rsidRPr="0047590E" w:rsidRDefault="0047590E" w:rsidP="0047590E">
            <w:pPr>
              <w:rPr>
                <w:rFonts w:ascii="Times New Roman" w:hAnsi="Times New Roman" w:cs="Times New Roman"/>
                <w:sz w:val="24"/>
                <w:szCs w:val="24"/>
              </w:rPr>
            </w:pPr>
          </w:p>
        </w:tc>
        <w:tc>
          <w:tcPr>
            <w:tcW w:w="2468" w:type="dxa"/>
            <w:gridSpan w:val="2"/>
          </w:tcPr>
          <w:p w14:paraId="59E27D03"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2019</w:t>
            </w:r>
            <w:r w:rsidR="0035304B">
              <w:rPr>
                <w:rFonts w:ascii="Times New Roman" w:hAnsi="Times New Roman" w:cs="Times New Roman"/>
                <w:sz w:val="24"/>
                <w:szCs w:val="24"/>
              </w:rPr>
              <w:t xml:space="preserve"> m.</w:t>
            </w:r>
          </w:p>
        </w:tc>
        <w:tc>
          <w:tcPr>
            <w:tcW w:w="2376" w:type="dxa"/>
            <w:gridSpan w:val="2"/>
          </w:tcPr>
          <w:p w14:paraId="59E27D04"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2020</w:t>
            </w:r>
            <w:r w:rsidR="0035304B">
              <w:rPr>
                <w:rFonts w:ascii="Times New Roman" w:hAnsi="Times New Roman" w:cs="Times New Roman"/>
                <w:sz w:val="24"/>
                <w:szCs w:val="24"/>
              </w:rPr>
              <w:t xml:space="preserve"> m.</w:t>
            </w:r>
          </w:p>
        </w:tc>
        <w:tc>
          <w:tcPr>
            <w:tcW w:w="2579" w:type="dxa"/>
            <w:gridSpan w:val="2"/>
          </w:tcPr>
          <w:p w14:paraId="59E27D05"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2021</w:t>
            </w:r>
            <w:r w:rsidR="0035304B">
              <w:rPr>
                <w:rFonts w:ascii="Times New Roman" w:hAnsi="Times New Roman" w:cs="Times New Roman"/>
                <w:sz w:val="24"/>
                <w:szCs w:val="24"/>
              </w:rPr>
              <w:t xml:space="preserve"> m.</w:t>
            </w:r>
          </w:p>
        </w:tc>
      </w:tr>
      <w:tr w:rsidR="0047590E" w:rsidRPr="0047590E" w14:paraId="59E27D0E" w14:textId="77777777" w:rsidTr="00D03DA7">
        <w:tc>
          <w:tcPr>
            <w:tcW w:w="2205" w:type="dxa"/>
            <w:vMerge/>
          </w:tcPr>
          <w:p w14:paraId="59E27D07" w14:textId="77777777" w:rsidR="0047590E" w:rsidRPr="0047590E" w:rsidRDefault="0047590E" w:rsidP="0047590E">
            <w:pPr>
              <w:rPr>
                <w:rFonts w:ascii="Times New Roman" w:hAnsi="Times New Roman" w:cs="Times New Roman"/>
                <w:sz w:val="24"/>
                <w:szCs w:val="24"/>
              </w:rPr>
            </w:pPr>
          </w:p>
        </w:tc>
        <w:tc>
          <w:tcPr>
            <w:tcW w:w="1192" w:type="dxa"/>
          </w:tcPr>
          <w:p w14:paraId="59E27D08" w14:textId="77777777" w:rsidR="0047590E" w:rsidRPr="0047590E" w:rsidRDefault="0047590E" w:rsidP="0047590E">
            <w:pPr>
              <w:rPr>
                <w:rFonts w:ascii="Times New Roman" w:hAnsi="Times New Roman" w:cs="Times New Roman"/>
                <w:sz w:val="24"/>
                <w:szCs w:val="24"/>
              </w:rPr>
            </w:pPr>
            <w:r w:rsidRPr="0047590E">
              <w:rPr>
                <w:rFonts w:ascii="Times New Roman" w:hAnsi="Times New Roman" w:cs="Times New Roman"/>
                <w:sz w:val="24"/>
                <w:szCs w:val="24"/>
              </w:rPr>
              <w:t>skaičius</w:t>
            </w:r>
          </w:p>
        </w:tc>
        <w:tc>
          <w:tcPr>
            <w:tcW w:w="1276" w:type="dxa"/>
          </w:tcPr>
          <w:p w14:paraId="59E27D09"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dalis (proc.)</w:t>
            </w:r>
          </w:p>
        </w:tc>
        <w:tc>
          <w:tcPr>
            <w:tcW w:w="1099" w:type="dxa"/>
          </w:tcPr>
          <w:p w14:paraId="59E27D0A"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skaičius</w:t>
            </w:r>
          </w:p>
        </w:tc>
        <w:tc>
          <w:tcPr>
            <w:tcW w:w="1277" w:type="dxa"/>
          </w:tcPr>
          <w:p w14:paraId="59E27D0B"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dalis (proc.)</w:t>
            </w:r>
          </w:p>
        </w:tc>
        <w:tc>
          <w:tcPr>
            <w:tcW w:w="1302" w:type="dxa"/>
          </w:tcPr>
          <w:p w14:paraId="59E27D0C"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skaičius</w:t>
            </w:r>
          </w:p>
        </w:tc>
        <w:tc>
          <w:tcPr>
            <w:tcW w:w="1277" w:type="dxa"/>
          </w:tcPr>
          <w:p w14:paraId="59E27D0D"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dalis (proc.)</w:t>
            </w:r>
          </w:p>
        </w:tc>
      </w:tr>
      <w:tr w:rsidR="0047590E" w:rsidRPr="0047590E" w14:paraId="59E27D16" w14:textId="77777777" w:rsidTr="00D03DA7">
        <w:tc>
          <w:tcPr>
            <w:tcW w:w="2205" w:type="dxa"/>
          </w:tcPr>
          <w:p w14:paraId="59E27D0F" w14:textId="77777777" w:rsidR="0047590E" w:rsidRPr="0047590E" w:rsidRDefault="0047590E" w:rsidP="0047590E">
            <w:pPr>
              <w:rPr>
                <w:rFonts w:ascii="Times New Roman" w:hAnsi="Times New Roman" w:cs="Times New Roman"/>
                <w:sz w:val="24"/>
                <w:szCs w:val="24"/>
              </w:rPr>
            </w:pPr>
            <w:r w:rsidRPr="0047590E">
              <w:rPr>
                <w:rFonts w:ascii="Times New Roman" w:hAnsi="Times New Roman" w:cs="Times New Roman"/>
                <w:sz w:val="24"/>
                <w:szCs w:val="24"/>
              </w:rPr>
              <w:t xml:space="preserve">Bendrosios paskirties mokyklos </w:t>
            </w:r>
          </w:p>
        </w:tc>
        <w:tc>
          <w:tcPr>
            <w:tcW w:w="1192" w:type="dxa"/>
          </w:tcPr>
          <w:p w14:paraId="59E27D10"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81</w:t>
            </w:r>
          </w:p>
        </w:tc>
        <w:tc>
          <w:tcPr>
            <w:tcW w:w="1276" w:type="dxa"/>
          </w:tcPr>
          <w:p w14:paraId="59E27D11"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57,4</w:t>
            </w:r>
          </w:p>
        </w:tc>
        <w:tc>
          <w:tcPr>
            <w:tcW w:w="1099" w:type="dxa"/>
          </w:tcPr>
          <w:p w14:paraId="59E27D12"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71</w:t>
            </w:r>
          </w:p>
        </w:tc>
        <w:tc>
          <w:tcPr>
            <w:tcW w:w="1277" w:type="dxa"/>
          </w:tcPr>
          <w:p w14:paraId="59E27D13"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54,2</w:t>
            </w:r>
          </w:p>
        </w:tc>
        <w:tc>
          <w:tcPr>
            <w:tcW w:w="1302" w:type="dxa"/>
          </w:tcPr>
          <w:p w14:paraId="59E27D14"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69</w:t>
            </w:r>
          </w:p>
        </w:tc>
        <w:tc>
          <w:tcPr>
            <w:tcW w:w="1277" w:type="dxa"/>
          </w:tcPr>
          <w:p w14:paraId="59E27D15"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53,5</w:t>
            </w:r>
          </w:p>
        </w:tc>
      </w:tr>
      <w:tr w:rsidR="0047590E" w:rsidRPr="0047590E" w14:paraId="59E27D1E" w14:textId="77777777" w:rsidTr="00D03DA7">
        <w:tc>
          <w:tcPr>
            <w:tcW w:w="2205" w:type="dxa"/>
          </w:tcPr>
          <w:p w14:paraId="59E27D17" w14:textId="77777777" w:rsidR="0047590E" w:rsidRPr="0047590E" w:rsidRDefault="0047590E" w:rsidP="0047590E">
            <w:pPr>
              <w:rPr>
                <w:rFonts w:ascii="Times New Roman" w:hAnsi="Times New Roman" w:cs="Times New Roman"/>
                <w:sz w:val="24"/>
                <w:szCs w:val="24"/>
              </w:rPr>
            </w:pPr>
            <w:r w:rsidRPr="0047590E">
              <w:rPr>
                <w:rFonts w:ascii="Times New Roman" w:hAnsi="Times New Roman" w:cs="Times New Roman"/>
                <w:sz w:val="24"/>
                <w:szCs w:val="24"/>
              </w:rPr>
              <w:t>Vilkaviškio r. Kybartų „Rasos“ mokykla (intelekto sutrikimą turintiems mokiniams)</w:t>
            </w:r>
          </w:p>
        </w:tc>
        <w:tc>
          <w:tcPr>
            <w:tcW w:w="1192" w:type="dxa"/>
          </w:tcPr>
          <w:p w14:paraId="59E27D18"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60</w:t>
            </w:r>
          </w:p>
        </w:tc>
        <w:tc>
          <w:tcPr>
            <w:tcW w:w="1276" w:type="dxa"/>
          </w:tcPr>
          <w:p w14:paraId="59E27D19"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42,6</w:t>
            </w:r>
          </w:p>
        </w:tc>
        <w:tc>
          <w:tcPr>
            <w:tcW w:w="1099" w:type="dxa"/>
          </w:tcPr>
          <w:p w14:paraId="59E27D1A"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60</w:t>
            </w:r>
          </w:p>
        </w:tc>
        <w:tc>
          <w:tcPr>
            <w:tcW w:w="1277" w:type="dxa"/>
          </w:tcPr>
          <w:p w14:paraId="59E27D1B"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45,8</w:t>
            </w:r>
          </w:p>
        </w:tc>
        <w:tc>
          <w:tcPr>
            <w:tcW w:w="1302" w:type="dxa"/>
          </w:tcPr>
          <w:p w14:paraId="59E27D1C"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60</w:t>
            </w:r>
          </w:p>
        </w:tc>
        <w:tc>
          <w:tcPr>
            <w:tcW w:w="1277" w:type="dxa"/>
          </w:tcPr>
          <w:p w14:paraId="59E27D1D"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46,5</w:t>
            </w:r>
          </w:p>
        </w:tc>
      </w:tr>
      <w:tr w:rsidR="0047590E" w:rsidRPr="0047590E" w14:paraId="59E27D26" w14:textId="77777777" w:rsidTr="00D03DA7">
        <w:tc>
          <w:tcPr>
            <w:tcW w:w="2205" w:type="dxa"/>
            <w:shd w:val="clear" w:color="auto" w:fill="DEEAF6" w:themeFill="accent1" w:themeFillTint="33"/>
          </w:tcPr>
          <w:p w14:paraId="59E27D1F" w14:textId="77777777" w:rsidR="0047590E" w:rsidRPr="0047590E" w:rsidRDefault="0047590E" w:rsidP="0047590E">
            <w:pPr>
              <w:rPr>
                <w:rFonts w:ascii="Times New Roman" w:hAnsi="Times New Roman" w:cs="Times New Roman"/>
                <w:sz w:val="24"/>
                <w:szCs w:val="24"/>
              </w:rPr>
            </w:pPr>
            <w:r w:rsidRPr="0047590E">
              <w:rPr>
                <w:rFonts w:ascii="Times New Roman" w:hAnsi="Times New Roman" w:cs="Times New Roman"/>
                <w:sz w:val="24"/>
                <w:szCs w:val="24"/>
              </w:rPr>
              <w:t>Iš viso:</w:t>
            </w:r>
          </w:p>
        </w:tc>
        <w:tc>
          <w:tcPr>
            <w:tcW w:w="1192" w:type="dxa"/>
            <w:shd w:val="clear" w:color="auto" w:fill="DEEAF6" w:themeFill="accent1" w:themeFillTint="33"/>
          </w:tcPr>
          <w:p w14:paraId="59E27D20"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141</w:t>
            </w:r>
          </w:p>
        </w:tc>
        <w:tc>
          <w:tcPr>
            <w:tcW w:w="1276" w:type="dxa"/>
            <w:shd w:val="clear" w:color="auto" w:fill="DEEAF6" w:themeFill="accent1" w:themeFillTint="33"/>
          </w:tcPr>
          <w:p w14:paraId="59E27D21"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100</w:t>
            </w:r>
          </w:p>
        </w:tc>
        <w:tc>
          <w:tcPr>
            <w:tcW w:w="1099" w:type="dxa"/>
            <w:shd w:val="clear" w:color="auto" w:fill="DEEAF6" w:themeFill="accent1" w:themeFillTint="33"/>
          </w:tcPr>
          <w:p w14:paraId="59E27D22"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131</w:t>
            </w:r>
          </w:p>
        </w:tc>
        <w:tc>
          <w:tcPr>
            <w:tcW w:w="1277" w:type="dxa"/>
            <w:shd w:val="clear" w:color="auto" w:fill="DEEAF6" w:themeFill="accent1" w:themeFillTint="33"/>
          </w:tcPr>
          <w:p w14:paraId="59E27D23"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100</w:t>
            </w:r>
          </w:p>
        </w:tc>
        <w:tc>
          <w:tcPr>
            <w:tcW w:w="1302" w:type="dxa"/>
            <w:shd w:val="clear" w:color="auto" w:fill="DEEAF6" w:themeFill="accent1" w:themeFillTint="33"/>
          </w:tcPr>
          <w:p w14:paraId="59E27D24"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129</w:t>
            </w:r>
          </w:p>
        </w:tc>
        <w:tc>
          <w:tcPr>
            <w:tcW w:w="1277" w:type="dxa"/>
            <w:shd w:val="clear" w:color="auto" w:fill="DEEAF6" w:themeFill="accent1" w:themeFillTint="33"/>
          </w:tcPr>
          <w:p w14:paraId="59E27D25" w14:textId="77777777" w:rsidR="0047590E" w:rsidRPr="0047590E" w:rsidRDefault="0047590E" w:rsidP="0047590E">
            <w:pPr>
              <w:jc w:val="center"/>
              <w:rPr>
                <w:rFonts w:ascii="Times New Roman" w:hAnsi="Times New Roman" w:cs="Times New Roman"/>
                <w:sz w:val="24"/>
                <w:szCs w:val="24"/>
              </w:rPr>
            </w:pPr>
            <w:r w:rsidRPr="0047590E">
              <w:rPr>
                <w:rFonts w:ascii="Times New Roman" w:hAnsi="Times New Roman" w:cs="Times New Roman"/>
                <w:sz w:val="24"/>
                <w:szCs w:val="24"/>
              </w:rPr>
              <w:t>100</w:t>
            </w:r>
          </w:p>
        </w:tc>
      </w:tr>
    </w:tbl>
    <w:p w14:paraId="59E27D27" w14:textId="77777777" w:rsidR="0047590E" w:rsidRPr="0047590E" w:rsidRDefault="0047590E" w:rsidP="0047590E">
      <w:pPr>
        <w:spacing w:after="0" w:line="240" w:lineRule="auto"/>
        <w:ind w:hanging="1134"/>
        <w:rPr>
          <w:rFonts w:ascii="Times New Roman" w:hAnsi="Times New Roman" w:cs="Times New Roman"/>
          <w:sz w:val="24"/>
          <w:szCs w:val="24"/>
        </w:rPr>
      </w:pPr>
    </w:p>
    <w:p w14:paraId="59E27D28" w14:textId="77777777" w:rsidR="0047590E" w:rsidRPr="0047590E" w:rsidRDefault="0047590E" w:rsidP="00C90B45">
      <w:pPr>
        <w:spacing w:after="0" w:line="240" w:lineRule="auto"/>
        <w:ind w:firstLine="851"/>
        <w:jc w:val="both"/>
        <w:rPr>
          <w:rFonts w:ascii="Times New Roman" w:hAnsi="Times New Roman" w:cs="Times New Roman"/>
          <w:sz w:val="24"/>
          <w:szCs w:val="24"/>
        </w:rPr>
      </w:pPr>
      <w:r w:rsidRPr="0047590E">
        <w:rPr>
          <w:rFonts w:ascii="Times New Roman" w:hAnsi="Times New Roman" w:cs="Times New Roman"/>
          <w:sz w:val="24"/>
          <w:szCs w:val="24"/>
        </w:rPr>
        <w:lastRenderedPageBreak/>
        <w:t xml:space="preserve">Pagal šiuo metu galiojančius teisės aktus tėvai, kurių vaikai turi didelių ir labai didelių specialiųjų ugdymosi poreikių, turi teisę rinktis bendrojo ugdymo ar specialiosios paskirties ugdymo įstaigą. </w:t>
      </w:r>
    </w:p>
    <w:p w14:paraId="59E27D29" w14:textId="77777777" w:rsidR="00C90B45" w:rsidRDefault="00C90B45" w:rsidP="0047590E">
      <w:pPr>
        <w:spacing w:after="0" w:line="240" w:lineRule="auto"/>
        <w:ind w:firstLine="1296"/>
        <w:jc w:val="both"/>
        <w:rPr>
          <w:rFonts w:ascii="Times New Roman" w:hAnsi="Times New Roman" w:cs="Times New Roman"/>
          <w:sz w:val="24"/>
          <w:szCs w:val="24"/>
        </w:rPr>
      </w:pPr>
    </w:p>
    <w:p w14:paraId="59E27D2A" w14:textId="77777777" w:rsidR="0047590E" w:rsidRDefault="00D431D4" w:rsidP="00D43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Neformalus švietimas</w:t>
      </w:r>
    </w:p>
    <w:p w14:paraId="59E27D2B" w14:textId="77777777" w:rsidR="00971270" w:rsidRDefault="00971270" w:rsidP="00D431D4">
      <w:pPr>
        <w:spacing w:after="0" w:line="240" w:lineRule="auto"/>
        <w:jc w:val="center"/>
        <w:rPr>
          <w:rFonts w:ascii="Times New Roman" w:hAnsi="Times New Roman" w:cs="Times New Roman"/>
          <w:b/>
          <w:sz w:val="24"/>
          <w:szCs w:val="24"/>
        </w:rPr>
      </w:pPr>
    </w:p>
    <w:p w14:paraId="59E27D2C" w14:textId="77777777" w:rsidR="00971270" w:rsidRDefault="008B4302" w:rsidP="00C90B45">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Vilkaviškio rajono savivaldybėje yra trys n</w:t>
      </w:r>
      <w:r w:rsidR="00971270" w:rsidRPr="00C90B45">
        <w:rPr>
          <w:rFonts w:ascii="Times New Roman" w:hAnsi="Times New Roman" w:cs="Times New Roman"/>
          <w:sz w:val="24"/>
          <w:szCs w:val="24"/>
        </w:rPr>
        <w:t>eformaliojo švietimo įstaigos: Vilkaviškio muzikos mokykla, Vilkaviškio rajono sporto mokykla, Vilkaviškio vaikų ir jaunimo centras</w:t>
      </w:r>
      <w:r w:rsidR="00B0711A">
        <w:rPr>
          <w:rFonts w:ascii="Times New Roman" w:hAnsi="Times New Roman" w:cs="Times New Roman"/>
          <w:sz w:val="24"/>
          <w:szCs w:val="24"/>
        </w:rPr>
        <w:t xml:space="preserve">. </w:t>
      </w:r>
      <w:r w:rsidR="00971270" w:rsidRPr="00C90B45">
        <w:rPr>
          <w:rFonts w:ascii="Times New Roman" w:hAnsi="Times New Roman" w:cs="Times New Roman"/>
          <w:sz w:val="24"/>
          <w:szCs w:val="24"/>
        </w:rPr>
        <w:t>Jas lank</w:t>
      </w:r>
      <w:r w:rsidR="00B0711A">
        <w:rPr>
          <w:rFonts w:ascii="Times New Roman" w:hAnsi="Times New Roman" w:cs="Times New Roman"/>
          <w:sz w:val="24"/>
          <w:szCs w:val="24"/>
        </w:rPr>
        <w:t>ė</w:t>
      </w:r>
      <w:r w:rsidR="00971270" w:rsidRPr="00C90B45">
        <w:rPr>
          <w:rFonts w:ascii="Times New Roman" w:hAnsi="Times New Roman" w:cs="Times New Roman"/>
          <w:sz w:val="24"/>
          <w:szCs w:val="24"/>
        </w:rPr>
        <w:t xml:space="preserve"> 1360 ugdytinių.</w:t>
      </w:r>
      <w:r w:rsidR="00971270" w:rsidRPr="00C90B45">
        <w:rPr>
          <w:rFonts w:ascii="Times New Roman" w:eastAsia="Calibri" w:hAnsi="Times New Roman" w:cs="Times New Roman"/>
          <w:sz w:val="24"/>
          <w:szCs w:val="24"/>
        </w:rPr>
        <w:t xml:space="preserve"> </w:t>
      </w:r>
    </w:p>
    <w:p w14:paraId="59E27D2D" w14:textId="77777777" w:rsidR="00DE6E50" w:rsidRDefault="008B4302" w:rsidP="00C90B4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00DE6E50" w:rsidRPr="00DE6E50">
        <w:rPr>
          <w:rFonts w:ascii="Times New Roman" w:hAnsi="Times New Roman" w:cs="Times New Roman"/>
          <w:sz w:val="24"/>
          <w:szCs w:val="24"/>
        </w:rPr>
        <w:t xml:space="preserve">kimokyklinėse ir priešmokyklinėse </w:t>
      </w:r>
      <w:r w:rsidR="00DE6E50" w:rsidRPr="00DE6E50">
        <w:rPr>
          <w:rFonts w:ascii="Times New Roman" w:eastAsia="Calibri" w:hAnsi="Times New Roman" w:cs="Times New Roman"/>
          <w:sz w:val="24"/>
          <w:szCs w:val="24"/>
        </w:rPr>
        <w:t>Vilkaviškio rajono savivaldybės įstaig</w:t>
      </w:r>
      <w:r w:rsidR="00DE6E50">
        <w:rPr>
          <w:rFonts w:ascii="Times New Roman" w:eastAsia="Calibri" w:hAnsi="Times New Roman" w:cs="Times New Roman"/>
          <w:sz w:val="24"/>
          <w:szCs w:val="24"/>
        </w:rPr>
        <w:t xml:space="preserve">ų </w:t>
      </w:r>
      <w:r w:rsidR="00DE6E50" w:rsidRPr="00DE6E50">
        <w:rPr>
          <w:rFonts w:ascii="Times New Roman" w:hAnsi="Times New Roman" w:cs="Times New Roman"/>
          <w:sz w:val="24"/>
          <w:szCs w:val="24"/>
        </w:rPr>
        <w:t>grupėse</w:t>
      </w:r>
      <w:r>
        <w:rPr>
          <w:rFonts w:ascii="Times New Roman" w:hAnsi="Times New Roman" w:cs="Times New Roman"/>
          <w:sz w:val="24"/>
          <w:szCs w:val="24"/>
        </w:rPr>
        <w:t xml:space="preserve"> ugdomi </w:t>
      </w:r>
      <w:r w:rsidRPr="00DE6E50">
        <w:rPr>
          <w:rFonts w:ascii="Times New Roman" w:hAnsi="Times New Roman" w:cs="Times New Roman"/>
          <w:sz w:val="24"/>
          <w:szCs w:val="24"/>
        </w:rPr>
        <w:t>1279 ugdytiniai</w:t>
      </w:r>
      <w:r w:rsidR="00DE6E50">
        <w:rPr>
          <w:rFonts w:ascii="Times New Roman" w:hAnsi="Times New Roman" w:cs="Times New Roman"/>
          <w:sz w:val="24"/>
          <w:szCs w:val="24"/>
        </w:rPr>
        <w:t xml:space="preserve">. </w:t>
      </w:r>
    </w:p>
    <w:p w14:paraId="59E27D2E" w14:textId="77777777" w:rsidR="00DE6E50" w:rsidRPr="00DE6E50" w:rsidRDefault="00DE6E50" w:rsidP="00DE6E50">
      <w:pPr>
        <w:spacing w:after="200" w:line="276" w:lineRule="auto"/>
        <w:jc w:val="center"/>
        <w:rPr>
          <w:sz w:val="24"/>
          <w:szCs w:val="24"/>
        </w:rPr>
      </w:pPr>
      <w:r w:rsidRPr="00DE6E50">
        <w:rPr>
          <w:rFonts w:ascii="Times New Roman" w:hAnsi="Times New Roman" w:cs="Times New Roman"/>
          <w:b/>
          <w:sz w:val="24"/>
          <w:szCs w:val="24"/>
        </w:rPr>
        <w:t>Ugdyme dalyvaujančių / nedalyvaujančių 2–5 m. amžiaus vaikų dalis</w:t>
      </w:r>
    </w:p>
    <w:tbl>
      <w:tblPr>
        <w:tblStyle w:val="Lentelstinklelis8"/>
        <w:tblW w:w="0" w:type="auto"/>
        <w:tblInd w:w="137" w:type="dxa"/>
        <w:tblLook w:val="04A0" w:firstRow="1" w:lastRow="0" w:firstColumn="1" w:lastColumn="0" w:noHBand="0" w:noVBand="1"/>
      </w:tblPr>
      <w:tblGrid>
        <w:gridCol w:w="709"/>
        <w:gridCol w:w="1984"/>
        <w:gridCol w:w="2127"/>
        <w:gridCol w:w="2126"/>
        <w:gridCol w:w="2410"/>
      </w:tblGrid>
      <w:tr w:rsidR="00DE6E50" w:rsidRPr="00DE6E50" w14:paraId="59E27D35" w14:textId="77777777" w:rsidTr="008B4302">
        <w:trPr>
          <w:trHeight w:val="1129"/>
        </w:trPr>
        <w:tc>
          <w:tcPr>
            <w:tcW w:w="709" w:type="dxa"/>
            <w:shd w:val="clear" w:color="auto" w:fill="DEEAF6" w:themeFill="accent1" w:themeFillTint="33"/>
          </w:tcPr>
          <w:p w14:paraId="59E27D2F" w14:textId="77777777" w:rsidR="00DE6E50" w:rsidRPr="00DE6E50" w:rsidRDefault="00DE6E50" w:rsidP="00DE6E50">
            <w:pPr>
              <w:rPr>
                <w:rFonts w:ascii="Times New Roman" w:hAnsi="Times New Roman" w:cs="Times New Roman"/>
                <w:b/>
                <w:sz w:val="24"/>
                <w:szCs w:val="24"/>
              </w:rPr>
            </w:pPr>
            <w:r w:rsidRPr="00DE6E50">
              <w:rPr>
                <w:rFonts w:ascii="Times New Roman" w:hAnsi="Times New Roman" w:cs="Times New Roman"/>
                <w:b/>
                <w:sz w:val="24"/>
                <w:szCs w:val="24"/>
              </w:rPr>
              <w:t>Eil. Nr.</w:t>
            </w:r>
          </w:p>
        </w:tc>
        <w:tc>
          <w:tcPr>
            <w:tcW w:w="1984" w:type="dxa"/>
            <w:shd w:val="clear" w:color="auto" w:fill="DEEAF6" w:themeFill="accent1" w:themeFillTint="33"/>
          </w:tcPr>
          <w:p w14:paraId="59E27D30" w14:textId="77777777" w:rsidR="00DE6E50" w:rsidRPr="00DE6E50" w:rsidRDefault="00DE6E50" w:rsidP="00DE6E50">
            <w:pPr>
              <w:rPr>
                <w:rFonts w:ascii="Times New Roman" w:hAnsi="Times New Roman" w:cs="Times New Roman"/>
                <w:b/>
                <w:sz w:val="24"/>
                <w:szCs w:val="24"/>
              </w:rPr>
            </w:pPr>
          </w:p>
          <w:p w14:paraId="59E27D31" w14:textId="77777777" w:rsidR="00DE6E50" w:rsidRPr="00DE6E50" w:rsidRDefault="00DE6E50" w:rsidP="00DE6E50">
            <w:pPr>
              <w:rPr>
                <w:rFonts w:ascii="Times New Roman" w:hAnsi="Times New Roman" w:cs="Times New Roman"/>
                <w:b/>
                <w:sz w:val="24"/>
                <w:szCs w:val="24"/>
              </w:rPr>
            </w:pPr>
            <w:r w:rsidRPr="00DE6E50">
              <w:rPr>
                <w:rFonts w:ascii="Times New Roman" w:hAnsi="Times New Roman" w:cs="Times New Roman"/>
                <w:b/>
                <w:sz w:val="24"/>
                <w:szCs w:val="24"/>
              </w:rPr>
              <w:t>Amžius</w:t>
            </w:r>
          </w:p>
        </w:tc>
        <w:tc>
          <w:tcPr>
            <w:tcW w:w="2127" w:type="dxa"/>
            <w:shd w:val="clear" w:color="auto" w:fill="DEEAF6" w:themeFill="accent1" w:themeFillTint="33"/>
          </w:tcPr>
          <w:p w14:paraId="59E27D32" w14:textId="77777777" w:rsidR="00DE6E50" w:rsidRPr="00DE6E50" w:rsidRDefault="00DE6E50" w:rsidP="00144CDE">
            <w:pPr>
              <w:rPr>
                <w:rFonts w:ascii="Times New Roman" w:hAnsi="Times New Roman" w:cs="Times New Roman"/>
                <w:b/>
                <w:sz w:val="24"/>
                <w:szCs w:val="24"/>
              </w:rPr>
            </w:pPr>
            <w:r w:rsidRPr="00DE6E50">
              <w:rPr>
                <w:rFonts w:ascii="Times New Roman" w:hAnsi="Times New Roman" w:cs="Times New Roman"/>
                <w:b/>
                <w:sz w:val="24"/>
                <w:szCs w:val="24"/>
              </w:rPr>
              <w:t>Nelankančių ikim</w:t>
            </w:r>
            <w:r w:rsidR="00144CDE">
              <w:rPr>
                <w:rFonts w:ascii="Times New Roman" w:hAnsi="Times New Roman" w:cs="Times New Roman"/>
                <w:b/>
                <w:sz w:val="24"/>
                <w:szCs w:val="24"/>
              </w:rPr>
              <w:t>okyklinio</w:t>
            </w:r>
            <w:r w:rsidRPr="00DE6E50">
              <w:rPr>
                <w:rFonts w:ascii="Times New Roman" w:hAnsi="Times New Roman" w:cs="Times New Roman"/>
                <w:b/>
                <w:sz w:val="24"/>
                <w:szCs w:val="24"/>
              </w:rPr>
              <w:t xml:space="preserve"> ugdymo įstaigas vaikų skaičius</w:t>
            </w:r>
          </w:p>
        </w:tc>
        <w:tc>
          <w:tcPr>
            <w:tcW w:w="2126" w:type="dxa"/>
            <w:shd w:val="clear" w:color="auto" w:fill="DEEAF6" w:themeFill="accent1" w:themeFillTint="33"/>
          </w:tcPr>
          <w:p w14:paraId="59E27D33" w14:textId="77777777" w:rsidR="00DE6E50" w:rsidRPr="00DE6E50" w:rsidRDefault="00DE6E50" w:rsidP="00144CDE">
            <w:pPr>
              <w:rPr>
                <w:rFonts w:ascii="Times New Roman" w:hAnsi="Times New Roman" w:cs="Times New Roman"/>
                <w:b/>
                <w:sz w:val="24"/>
                <w:szCs w:val="24"/>
              </w:rPr>
            </w:pPr>
            <w:r w:rsidRPr="00DE6E50">
              <w:rPr>
                <w:rFonts w:ascii="Times New Roman" w:hAnsi="Times New Roman" w:cs="Times New Roman"/>
                <w:b/>
                <w:sz w:val="24"/>
                <w:szCs w:val="24"/>
              </w:rPr>
              <w:t>Lankančių ikim</w:t>
            </w:r>
            <w:r w:rsidR="00144CDE">
              <w:rPr>
                <w:rFonts w:ascii="Times New Roman" w:hAnsi="Times New Roman" w:cs="Times New Roman"/>
                <w:b/>
                <w:sz w:val="24"/>
                <w:szCs w:val="24"/>
              </w:rPr>
              <w:t xml:space="preserve">okyklinio </w:t>
            </w:r>
            <w:r w:rsidRPr="00DE6E50">
              <w:rPr>
                <w:rFonts w:ascii="Times New Roman" w:hAnsi="Times New Roman" w:cs="Times New Roman"/>
                <w:b/>
                <w:sz w:val="24"/>
                <w:szCs w:val="24"/>
              </w:rPr>
              <w:t>ugdymo įstaigas vaikų skaičius</w:t>
            </w:r>
          </w:p>
        </w:tc>
        <w:tc>
          <w:tcPr>
            <w:tcW w:w="2410" w:type="dxa"/>
            <w:shd w:val="clear" w:color="auto" w:fill="DEEAF6" w:themeFill="accent1" w:themeFillTint="33"/>
          </w:tcPr>
          <w:p w14:paraId="59E27D34" w14:textId="77777777" w:rsidR="00DE6E50" w:rsidRPr="00DE6E50" w:rsidRDefault="00DE6E50" w:rsidP="00144CDE">
            <w:pPr>
              <w:rPr>
                <w:rFonts w:ascii="Times New Roman" w:hAnsi="Times New Roman" w:cs="Times New Roman"/>
                <w:b/>
                <w:sz w:val="24"/>
                <w:szCs w:val="24"/>
              </w:rPr>
            </w:pPr>
            <w:r w:rsidRPr="00DE6E50">
              <w:rPr>
                <w:rFonts w:ascii="Times New Roman" w:hAnsi="Times New Roman" w:cs="Times New Roman"/>
                <w:b/>
                <w:sz w:val="24"/>
                <w:szCs w:val="24"/>
              </w:rPr>
              <w:t>Nelankančių / lankančių  ikim</w:t>
            </w:r>
            <w:r w:rsidR="00144CDE">
              <w:rPr>
                <w:rFonts w:ascii="Times New Roman" w:hAnsi="Times New Roman" w:cs="Times New Roman"/>
                <w:b/>
                <w:sz w:val="24"/>
                <w:szCs w:val="24"/>
              </w:rPr>
              <w:t xml:space="preserve">okyklinio </w:t>
            </w:r>
            <w:r w:rsidRPr="00DE6E50">
              <w:rPr>
                <w:rFonts w:ascii="Times New Roman" w:hAnsi="Times New Roman" w:cs="Times New Roman"/>
                <w:b/>
                <w:sz w:val="24"/>
                <w:szCs w:val="24"/>
              </w:rPr>
              <w:t>ugdymo įstaigas vaikų dalis</w:t>
            </w:r>
          </w:p>
        </w:tc>
      </w:tr>
      <w:tr w:rsidR="00DE6E50" w:rsidRPr="00DE6E50" w14:paraId="59E27D3C" w14:textId="77777777" w:rsidTr="008B4302">
        <w:tc>
          <w:tcPr>
            <w:tcW w:w="709" w:type="dxa"/>
          </w:tcPr>
          <w:p w14:paraId="59E27D36"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1.</w:t>
            </w:r>
          </w:p>
        </w:tc>
        <w:tc>
          <w:tcPr>
            <w:tcW w:w="1984" w:type="dxa"/>
          </w:tcPr>
          <w:p w14:paraId="59E27D37"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Lopšelis</w:t>
            </w:r>
          </w:p>
          <w:p w14:paraId="59E27D38"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(2 m. vaikai)</w:t>
            </w:r>
          </w:p>
        </w:tc>
        <w:tc>
          <w:tcPr>
            <w:tcW w:w="2127" w:type="dxa"/>
          </w:tcPr>
          <w:p w14:paraId="59E27D39"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 xml:space="preserve">123 </w:t>
            </w:r>
          </w:p>
        </w:tc>
        <w:tc>
          <w:tcPr>
            <w:tcW w:w="2126" w:type="dxa"/>
          </w:tcPr>
          <w:p w14:paraId="59E27D3A"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165</w:t>
            </w:r>
          </w:p>
        </w:tc>
        <w:tc>
          <w:tcPr>
            <w:tcW w:w="2410" w:type="dxa"/>
          </w:tcPr>
          <w:p w14:paraId="59E27D3B"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43 proc</w:t>
            </w:r>
            <w:r w:rsidR="008B4302">
              <w:rPr>
                <w:rFonts w:ascii="Times New Roman" w:hAnsi="Times New Roman" w:cs="Times New Roman"/>
                <w:sz w:val="24"/>
                <w:szCs w:val="24"/>
              </w:rPr>
              <w:t>.</w:t>
            </w:r>
            <w:r w:rsidRPr="00DE6E50">
              <w:rPr>
                <w:rFonts w:ascii="Times New Roman" w:hAnsi="Times New Roman" w:cs="Times New Roman"/>
                <w:sz w:val="24"/>
                <w:szCs w:val="24"/>
              </w:rPr>
              <w:t xml:space="preserve"> / 57 </w:t>
            </w:r>
            <w:r w:rsidRPr="00DE6E50">
              <w:rPr>
                <w:rFonts w:ascii="Times New Roman" w:hAnsi="Times New Roman" w:cs="Times New Roman"/>
                <w:sz w:val="24"/>
                <w:szCs w:val="24"/>
                <w:lang w:val="en-US"/>
              </w:rPr>
              <w:t>proc</w:t>
            </w:r>
          </w:p>
        </w:tc>
      </w:tr>
      <w:tr w:rsidR="00DE6E50" w:rsidRPr="00DE6E50" w14:paraId="59E27D43" w14:textId="77777777" w:rsidTr="008B4302">
        <w:tc>
          <w:tcPr>
            <w:tcW w:w="709" w:type="dxa"/>
          </w:tcPr>
          <w:p w14:paraId="59E27D3D"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2.</w:t>
            </w:r>
          </w:p>
        </w:tc>
        <w:tc>
          <w:tcPr>
            <w:tcW w:w="1984" w:type="dxa"/>
          </w:tcPr>
          <w:p w14:paraId="59E27D3E"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Darželis</w:t>
            </w:r>
          </w:p>
          <w:p w14:paraId="59E27D3F"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(3–5 m. vaikai)</w:t>
            </w:r>
          </w:p>
        </w:tc>
        <w:tc>
          <w:tcPr>
            <w:tcW w:w="2127" w:type="dxa"/>
          </w:tcPr>
          <w:p w14:paraId="59E27D40"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128</w:t>
            </w:r>
          </w:p>
        </w:tc>
        <w:tc>
          <w:tcPr>
            <w:tcW w:w="2126" w:type="dxa"/>
          </w:tcPr>
          <w:p w14:paraId="59E27D41"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795</w:t>
            </w:r>
          </w:p>
        </w:tc>
        <w:tc>
          <w:tcPr>
            <w:tcW w:w="2410" w:type="dxa"/>
          </w:tcPr>
          <w:p w14:paraId="59E27D42"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14 proc</w:t>
            </w:r>
            <w:r w:rsidR="008B4302">
              <w:rPr>
                <w:rFonts w:ascii="Times New Roman" w:hAnsi="Times New Roman" w:cs="Times New Roman"/>
                <w:sz w:val="24"/>
                <w:szCs w:val="24"/>
              </w:rPr>
              <w:t>.</w:t>
            </w:r>
            <w:r w:rsidRPr="00DE6E50">
              <w:rPr>
                <w:rFonts w:ascii="Times New Roman" w:hAnsi="Times New Roman" w:cs="Times New Roman"/>
                <w:sz w:val="24"/>
                <w:szCs w:val="24"/>
              </w:rPr>
              <w:t xml:space="preserve"> / 86 </w:t>
            </w:r>
            <w:r w:rsidRPr="00DE6E50">
              <w:rPr>
                <w:rFonts w:ascii="Times New Roman" w:hAnsi="Times New Roman" w:cs="Times New Roman"/>
                <w:sz w:val="24"/>
                <w:szCs w:val="24"/>
                <w:lang w:val="en-US"/>
              </w:rPr>
              <w:t>proc</w:t>
            </w:r>
          </w:p>
        </w:tc>
      </w:tr>
      <w:tr w:rsidR="00DE6E50" w:rsidRPr="00DE6E50" w14:paraId="59E27D4B" w14:textId="77777777" w:rsidTr="008B4302">
        <w:tc>
          <w:tcPr>
            <w:tcW w:w="709" w:type="dxa"/>
          </w:tcPr>
          <w:p w14:paraId="59E27D44"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3.</w:t>
            </w:r>
          </w:p>
        </w:tc>
        <w:tc>
          <w:tcPr>
            <w:tcW w:w="1984" w:type="dxa"/>
          </w:tcPr>
          <w:p w14:paraId="59E27D45"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 xml:space="preserve">Iš viso </w:t>
            </w:r>
          </w:p>
          <w:p w14:paraId="59E27D46"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(2–5 m.</w:t>
            </w:r>
          </w:p>
          <w:p w14:paraId="59E27D47"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vaikų skaičius)</w:t>
            </w:r>
          </w:p>
        </w:tc>
        <w:tc>
          <w:tcPr>
            <w:tcW w:w="2127" w:type="dxa"/>
          </w:tcPr>
          <w:p w14:paraId="59E27D48"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251</w:t>
            </w:r>
          </w:p>
        </w:tc>
        <w:tc>
          <w:tcPr>
            <w:tcW w:w="2126" w:type="dxa"/>
          </w:tcPr>
          <w:p w14:paraId="59E27D49"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960</w:t>
            </w:r>
          </w:p>
        </w:tc>
        <w:tc>
          <w:tcPr>
            <w:tcW w:w="2410" w:type="dxa"/>
          </w:tcPr>
          <w:p w14:paraId="59E27D4A" w14:textId="77777777" w:rsidR="00DE6E50" w:rsidRPr="00DE6E50" w:rsidRDefault="00DE6E50" w:rsidP="00DE6E50">
            <w:pPr>
              <w:rPr>
                <w:rFonts w:ascii="Times New Roman" w:hAnsi="Times New Roman" w:cs="Times New Roman"/>
                <w:sz w:val="24"/>
                <w:szCs w:val="24"/>
              </w:rPr>
            </w:pPr>
            <w:r w:rsidRPr="00DE6E50">
              <w:rPr>
                <w:rFonts w:ascii="Times New Roman" w:hAnsi="Times New Roman" w:cs="Times New Roman"/>
                <w:sz w:val="24"/>
                <w:szCs w:val="24"/>
              </w:rPr>
              <w:t>21 proc</w:t>
            </w:r>
            <w:r w:rsidR="008B4302">
              <w:rPr>
                <w:rFonts w:ascii="Times New Roman" w:hAnsi="Times New Roman" w:cs="Times New Roman"/>
                <w:sz w:val="24"/>
                <w:szCs w:val="24"/>
              </w:rPr>
              <w:t>.</w:t>
            </w:r>
            <w:r w:rsidR="00B6210F">
              <w:rPr>
                <w:rFonts w:ascii="Times New Roman" w:hAnsi="Times New Roman" w:cs="Times New Roman"/>
                <w:sz w:val="24"/>
                <w:szCs w:val="24"/>
              </w:rPr>
              <w:t xml:space="preserve"> </w:t>
            </w:r>
            <w:r w:rsidRPr="00DE6E50">
              <w:rPr>
                <w:rFonts w:ascii="Times New Roman" w:hAnsi="Times New Roman" w:cs="Times New Roman"/>
                <w:sz w:val="24"/>
                <w:szCs w:val="24"/>
              </w:rPr>
              <w:t xml:space="preserve">/ 79 </w:t>
            </w:r>
            <w:r w:rsidRPr="00DE6E50">
              <w:rPr>
                <w:rFonts w:ascii="Times New Roman" w:hAnsi="Times New Roman" w:cs="Times New Roman"/>
                <w:sz w:val="24"/>
                <w:szCs w:val="24"/>
                <w:lang w:val="en-US"/>
              </w:rPr>
              <w:t>proc</w:t>
            </w:r>
          </w:p>
        </w:tc>
      </w:tr>
    </w:tbl>
    <w:p w14:paraId="59E27D4C" w14:textId="77777777" w:rsidR="00DE6E50" w:rsidRPr="00DE6E50" w:rsidRDefault="00DE6E50" w:rsidP="00C90B45">
      <w:pPr>
        <w:spacing w:after="0" w:line="240" w:lineRule="auto"/>
        <w:ind w:firstLine="851"/>
        <w:jc w:val="both"/>
        <w:rPr>
          <w:rFonts w:ascii="Times New Roman" w:eastAsia="Calibri" w:hAnsi="Times New Roman" w:cs="Times New Roman"/>
          <w:sz w:val="24"/>
          <w:szCs w:val="24"/>
        </w:rPr>
      </w:pPr>
      <w:r w:rsidRPr="00DE6E50">
        <w:rPr>
          <w:rFonts w:ascii="Times New Roman" w:eastAsia="Calibri" w:hAnsi="Times New Roman" w:cs="Times New Roman"/>
          <w:sz w:val="24"/>
          <w:szCs w:val="24"/>
        </w:rPr>
        <w:t xml:space="preserve"> </w:t>
      </w:r>
    </w:p>
    <w:p w14:paraId="59E27D4D" w14:textId="77777777" w:rsidR="00B0711A" w:rsidRDefault="008B4302" w:rsidP="00B0711A">
      <w:pPr>
        <w:spacing w:after="0" w:line="240" w:lineRule="auto"/>
        <w:ind w:firstLine="1296"/>
        <w:jc w:val="center"/>
        <w:rPr>
          <w:rFonts w:ascii="Times New Roman" w:hAnsi="Times New Roman" w:cs="Times New Roman"/>
          <w:sz w:val="24"/>
          <w:szCs w:val="24"/>
        </w:rPr>
      </w:pPr>
      <w:r w:rsidRPr="00B0711A">
        <w:rPr>
          <w:rFonts w:ascii="Times New Roman" w:hAnsi="Times New Roman" w:cs="Times New Roman"/>
          <w:b/>
          <w:sz w:val="24"/>
          <w:szCs w:val="24"/>
        </w:rPr>
        <w:t>Vilkaviškio rajono savivaldybėje organizuotos neformal</w:t>
      </w:r>
      <w:r w:rsidR="00B0711A">
        <w:rPr>
          <w:rFonts w:ascii="Times New Roman" w:hAnsi="Times New Roman" w:cs="Times New Roman"/>
          <w:b/>
          <w:sz w:val="24"/>
          <w:szCs w:val="24"/>
        </w:rPr>
        <w:t>ios</w:t>
      </w:r>
      <w:r w:rsidRPr="00B0711A">
        <w:rPr>
          <w:rFonts w:ascii="Times New Roman" w:hAnsi="Times New Roman" w:cs="Times New Roman"/>
          <w:b/>
          <w:sz w:val="24"/>
          <w:szCs w:val="24"/>
        </w:rPr>
        <w:t xml:space="preserve"> </w:t>
      </w:r>
      <w:r w:rsidR="004072AC">
        <w:rPr>
          <w:rFonts w:ascii="Times New Roman" w:hAnsi="Times New Roman" w:cs="Times New Roman"/>
          <w:b/>
          <w:sz w:val="24"/>
          <w:szCs w:val="24"/>
        </w:rPr>
        <w:t xml:space="preserve">švietimo </w:t>
      </w:r>
      <w:r w:rsidRPr="00B0711A">
        <w:rPr>
          <w:rFonts w:ascii="Times New Roman" w:hAnsi="Times New Roman" w:cs="Times New Roman"/>
          <w:b/>
          <w:sz w:val="24"/>
          <w:szCs w:val="24"/>
        </w:rPr>
        <w:t>veiklos</w:t>
      </w:r>
      <w:r w:rsidR="00B0711A">
        <w:rPr>
          <w:rFonts w:ascii="Times New Roman" w:hAnsi="Times New Roman" w:cs="Times New Roman"/>
          <w:sz w:val="24"/>
          <w:szCs w:val="24"/>
        </w:rPr>
        <w:t xml:space="preserve"> </w:t>
      </w:r>
    </w:p>
    <w:p w14:paraId="59E27D4E" w14:textId="77777777" w:rsidR="004072AC" w:rsidRDefault="004072AC" w:rsidP="00B0711A">
      <w:pPr>
        <w:spacing w:after="0" w:line="240" w:lineRule="auto"/>
        <w:ind w:firstLine="1296"/>
        <w:jc w:val="center"/>
        <w:rPr>
          <w:rFonts w:ascii="Times New Roman" w:hAnsi="Times New Roman" w:cs="Times New Roman"/>
          <w:sz w:val="24"/>
          <w:szCs w:val="24"/>
        </w:rPr>
      </w:pPr>
    </w:p>
    <w:tbl>
      <w:tblPr>
        <w:tblStyle w:val="Lentelstinklelis12"/>
        <w:tblW w:w="9356" w:type="dxa"/>
        <w:tblInd w:w="137" w:type="dxa"/>
        <w:tblLayout w:type="fixed"/>
        <w:tblLook w:val="04A0" w:firstRow="1" w:lastRow="0" w:firstColumn="1" w:lastColumn="0" w:noHBand="0" w:noVBand="1"/>
      </w:tblPr>
      <w:tblGrid>
        <w:gridCol w:w="1701"/>
        <w:gridCol w:w="1418"/>
        <w:gridCol w:w="1134"/>
        <w:gridCol w:w="1417"/>
        <w:gridCol w:w="1134"/>
        <w:gridCol w:w="1418"/>
        <w:gridCol w:w="1134"/>
      </w:tblGrid>
      <w:tr w:rsidR="00476BF5" w:rsidRPr="00476BF5" w14:paraId="59E27D53" w14:textId="77777777" w:rsidTr="004072AC">
        <w:trPr>
          <w:trHeight w:val="183"/>
        </w:trPr>
        <w:tc>
          <w:tcPr>
            <w:tcW w:w="1701" w:type="dxa"/>
            <w:vMerge w:val="restart"/>
            <w:shd w:val="clear" w:color="auto" w:fill="DEEAF6" w:themeFill="accent1" w:themeFillTint="33"/>
          </w:tcPr>
          <w:p w14:paraId="59E27D4F" w14:textId="77777777" w:rsidR="00476BF5" w:rsidRPr="00476BF5" w:rsidRDefault="00476BF5" w:rsidP="00476BF5">
            <w:pPr>
              <w:spacing w:after="160" w:line="259" w:lineRule="auto"/>
              <w:rPr>
                <w:rFonts w:ascii="Times New Roman" w:hAnsi="Times New Roman" w:cs="Times New Roman"/>
                <w:sz w:val="24"/>
                <w:szCs w:val="24"/>
              </w:rPr>
            </w:pPr>
            <w:r w:rsidRPr="00476BF5">
              <w:rPr>
                <w:rFonts w:ascii="Times New Roman" w:hAnsi="Times New Roman" w:cs="Times New Roman"/>
                <w:sz w:val="24"/>
                <w:szCs w:val="24"/>
              </w:rPr>
              <w:t xml:space="preserve">Veiklos sritis </w:t>
            </w:r>
          </w:p>
        </w:tc>
        <w:tc>
          <w:tcPr>
            <w:tcW w:w="2552" w:type="dxa"/>
            <w:gridSpan w:val="2"/>
            <w:shd w:val="clear" w:color="auto" w:fill="DEEAF6" w:themeFill="accent1" w:themeFillTint="33"/>
          </w:tcPr>
          <w:p w14:paraId="59E27D50" w14:textId="77777777" w:rsidR="00476BF5" w:rsidRPr="00476BF5" w:rsidRDefault="00476BF5" w:rsidP="00D03DA7">
            <w:pPr>
              <w:spacing w:after="160" w:line="259" w:lineRule="auto"/>
              <w:jc w:val="center"/>
              <w:rPr>
                <w:rFonts w:ascii="Times New Roman" w:hAnsi="Times New Roman" w:cs="Times New Roman"/>
                <w:sz w:val="24"/>
                <w:szCs w:val="24"/>
              </w:rPr>
            </w:pPr>
            <w:r w:rsidRPr="00476BF5">
              <w:rPr>
                <w:rFonts w:ascii="Times New Roman" w:hAnsi="Times New Roman" w:cs="Times New Roman"/>
                <w:sz w:val="24"/>
                <w:szCs w:val="24"/>
              </w:rPr>
              <w:t>2019</w:t>
            </w:r>
            <w:r w:rsidR="004072AC">
              <w:rPr>
                <w:rFonts w:ascii="Times New Roman" w:hAnsi="Times New Roman" w:cs="Times New Roman"/>
                <w:sz w:val="24"/>
                <w:szCs w:val="24"/>
              </w:rPr>
              <w:t xml:space="preserve"> m.</w:t>
            </w:r>
          </w:p>
        </w:tc>
        <w:tc>
          <w:tcPr>
            <w:tcW w:w="2551" w:type="dxa"/>
            <w:gridSpan w:val="2"/>
            <w:shd w:val="clear" w:color="auto" w:fill="DEEAF6" w:themeFill="accent1" w:themeFillTint="33"/>
          </w:tcPr>
          <w:p w14:paraId="59E27D51" w14:textId="77777777" w:rsidR="00476BF5" w:rsidRPr="00476BF5" w:rsidRDefault="00476BF5" w:rsidP="00D03DA7">
            <w:pPr>
              <w:spacing w:after="160" w:line="259" w:lineRule="auto"/>
              <w:jc w:val="center"/>
              <w:rPr>
                <w:rFonts w:ascii="Times New Roman" w:hAnsi="Times New Roman" w:cs="Times New Roman"/>
                <w:sz w:val="24"/>
                <w:szCs w:val="24"/>
              </w:rPr>
            </w:pPr>
            <w:r w:rsidRPr="00476BF5">
              <w:rPr>
                <w:rFonts w:ascii="Times New Roman" w:hAnsi="Times New Roman" w:cs="Times New Roman"/>
                <w:sz w:val="24"/>
                <w:szCs w:val="24"/>
              </w:rPr>
              <w:t>2020</w:t>
            </w:r>
            <w:r w:rsidR="004072AC">
              <w:rPr>
                <w:rFonts w:ascii="Times New Roman" w:hAnsi="Times New Roman" w:cs="Times New Roman"/>
                <w:sz w:val="24"/>
                <w:szCs w:val="24"/>
              </w:rPr>
              <w:t xml:space="preserve"> m.</w:t>
            </w:r>
          </w:p>
        </w:tc>
        <w:tc>
          <w:tcPr>
            <w:tcW w:w="2552" w:type="dxa"/>
            <w:gridSpan w:val="2"/>
            <w:shd w:val="clear" w:color="auto" w:fill="DEEAF6" w:themeFill="accent1" w:themeFillTint="33"/>
          </w:tcPr>
          <w:p w14:paraId="59E27D52" w14:textId="77777777" w:rsidR="00476BF5" w:rsidRPr="00476BF5" w:rsidRDefault="00476BF5" w:rsidP="00D03DA7">
            <w:pPr>
              <w:spacing w:after="160" w:line="259" w:lineRule="auto"/>
              <w:jc w:val="center"/>
              <w:rPr>
                <w:rFonts w:ascii="Times New Roman" w:hAnsi="Times New Roman" w:cs="Times New Roman"/>
                <w:sz w:val="24"/>
                <w:szCs w:val="24"/>
              </w:rPr>
            </w:pPr>
            <w:r w:rsidRPr="00476BF5">
              <w:rPr>
                <w:rFonts w:ascii="Times New Roman" w:hAnsi="Times New Roman" w:cs="Times New Roman"/>
                <w:sz w:val="24"/>
                <w:szCs w:val="24"/>
              </w:rPr>
              <w:t>2021</w:t>
            </w:r>
            <w:r w:rsidR="004072AC">
              <w:rPr>
                <w:rFonts w:ascii="Times New Roman" w:hAnsi="Times New Roman" w:cs="Times New Roman"/>
                <w:sz w:val="24"/>
                <w:szCs w:val="24"/>
              </w:rPr>
              <w:t xml:space="preserve"> m.</w:t>
            </w:r>
          </w:p>
        </w:tc>
      </w:tr>
      <w:tr w:rsidR="004072AC" w:rsidRPr="00476BF5" w14:paraId="59E27D5B" w14:textId="77777777" w:rsidTr="004072AC">
        <w:trPr>
          <w:trHeight w:val="182"/>
        </w:trPr>
        <w:tc>
          <w:tcPr>
            <w:tcW w:w="1701" w:type="dxa"/>
            <w:vMerge/>
            <w:shd w:val="clear" w:color="auto" w:fill="DEEAF6" w:themeFill="accent1" w:themeFillTint="33"/>
          </w:tcPr>
          <w:p w14:paraId="59E27D54" w14:textId="77777777" w:rsidR="00476BF5" w:rsidRPr="00476BF5" w:rsidRDefault="00476BF5" w:rsidP="00476BF5">
            <w:pPr>
              <w:spacing w:after="160" w:line="259" w:lineRule="auto"/>
            </w:pPr>
          </w:p>
        </w:tc>
        <w:tc>
          <w:tcPr>
            <w:tcW w:w="1418" w:type="dxa"/>
            <w:shd w:val="clear" w:color="auto" w:fill="DEEAF6" w:themeFill="accent1" w:themeFillTint="33"/>
          </w:tcPr>
          <w:p w14:paraId="59E27D55" w14:textId="77777777" w:rsidR="00476BF5" w:rsidRPr="00476BF5" w:rsidRDefault="00476BF5" w:rsidP="00476BF5">
            <w:pPr>
              <w:spacing w:after="160" w:line="259" w:lineRule="auto"/>
              <w:rPr>
                <w:rFonts w:ascii="Times New Roman" w:hAnsi="Times New Roman" w:cs="Times New Roman"/>
              </w:rPr>
            </w:pPr>
            <w:r w:rsidRPr="00476BF5">
              <w:rPr>
                <w:rFonts w:ascii="Times New Roman" w:hAnsi="Times New Roman" w:cs="Times New Roman"/>
              </w:rPr>
              <w:t xml:space="preserve">Programų sk. </w:t>
            </w:r>
          </w:p>
        </w:tc>
        <w:tc>
          <w:tcPr>
            <w:tcW w:w="1134" w:type="dxa"/>
            <w:shd w:val="clear" w:color="auto" w:fill="DEEAF6" w:themeFill="accent1" w:themeFillTint="33"/>
          </w:tcPr>
          <w:p w14:paraId="59E27D56" w14:textId="77777777" w:rsidR="00476BF5" w:rsidRPr="00476BF5" w:rsidRDefault="00476BF5" w:rsidP="00476BF5">
            <w:pPr>
              <w:spacing w:after="160" w:line="259" w:lineRule="auto"/>
              <w:rPr>
                <w:rFonts w:ascii="Times New Roman" w:hAnsi="Times New Roman" w:cs="Times New Roman"/>
              </w:rPr>
            </w:pPr>
            <w:r w:rsidRPr="00476BF5">
              <w:rPr>
                <w:rFonts w:ascii="Times New Roman" w:hAnsi="Times New Roman" w:cs="Times New Roman"/>
              </w:rPr>
              <w:t>Vaikų sk.</w:t>
            </w:r>
          </w:p>
        </w:tc>
        <w:tc>
          <w:tcPr>
            <w:tcW w:w="1417" w:type="dxa"/>
            <w:shd w:val="clear" w:color="auto" w:fill="DEEAF6" w:themeFill="accent1" w:themeFillTint="33"/>
          </w:tcPr>
          <w:p w14:paraId="59E27D57" w14:textId="77777777" w:rsidR="00476BF5" w:rsidRPr="00476BF5" w:rsidRDefault="00476BF5" w:rsidP="00476BF5">
            <w:pPr>
              <w:spacing w:after="160" w:line="259" w:lineRule="auto"/>
              <w:rPr>
                <w:rFonts w:ascii="Times New Roman" w:hAnsi="Times New Roman" w:cs="Times New Roman"/>
              </w:rPr>
            </w:pPr>
            <w:r w:rsidRPr="00476BF5">
              <w:rPr>
                <w:rFonts w:ascii="Times New Roman" w:hAnsi="Times New Roman" w:cs="Times New Roman"/>
              </w:rPr>
              <w:t>Programų sk.</w:t>
            </w:r>
          </w:p>
        </w:tc>
        <w:tc>
          <w:tcPr>
            <w:tcW w:w="1134" w:type="dxa"/>
            <w:shd w:val="clear" w:color="auto" w:fill="DEEAF6" w:themeFill="accent1" w:themeFillTint="33"/>
          </w:tcPr>
          <w:p w14:paraId="59E27D58" w14:textId="77777777" w:rsidR="00476BF5" w:rsidRPr="00476BF5" w:rsidRDefault="00476BF5" w:rsidP="00476BF5">
            <w:pPr>
              <w:spacing w:after="160" w:line="259" w:lineRule="auto"/>
              <w:rPr>
                <w:rFonts w:ascii="Times New Roman" w:hAnsi="Times New Roman" w:cs="Times New Roman"/>
              </w:rPr>
            </w:pPr>
            <w:r w:rsidRPr="00476BF5">
              <w:rPr>
                <w:rFonts w:ascii="Times New Roman" w:hAnsi="Times New Roman" w:cs="Times New Roman"/>
              </w:rPr>
              <w:t>Vaikų sk.</w:t>
            </w:r>
          </w:p>
        </w:tc>
        <w:tc>
          <w:tcPr>
            <w:tcW w:w="1418" w:type="dxa"/>
            <w:shd w:val="clear" w:color="auto" w:fill="DEEAF6" w:themeFill="accent1" w:themeFillTint="33"/>
          </w:tcPr>
          <w:p w14:paraId="59E27D59" w14:textId="77777777" w:rsidR="00476BF5" w:rsidRPr="00476BF5" w:rsidRDefault="00476BF5" w:rsidP="00476BF5">
            <w:pPr>
              <w:spacing w:after="160" w:line="259" w:lineRule="auto"/>
              <w:rPr>
                <w:rFonts w:ascii="Times New Roman" w:hAnsi="Times New Roman" w:cs="Times New Roman"/>
              </w:rPr>
            </w:pPr>
            <w:r w:rsidRPr="00476BF5">
              <w:rPr>
                <w:rFonts w:ascii="Times New Roman" w:hAnsi="Times New Roman" w:cs="Times New Roman"/>
              </w:rPr>
              <w:t>Programų sk.</w:t>
            </w:r>
          </w:p>
        </w:tc>
        <w:tc>
          <w:tcPr>
            <w:tcW w:w="1134" w:type="dxa"/>
            <w:shd w:val="clear" w:color="auto" w:fill="DEEAF6" w:themeFill="accent1" w:themeFillTint="33"/>
          </w:tcPr>
          <w:p w14:paraId="59E27D5A" w14:textId="77777777" w:rsidR="00476BF5" w:rsidRPr="00476BF5" w:rsidRDefault="00476BF5" w:rsidP="00476BF5">
            <w:pPr>
              <w:spacing w:after="160" w:line="259" w:lineRule="auto"/>
              <w:rPr>
                <w:rFonts w:ascii="Times New Roman" w:hAnsi="Times New Roman" w:cs="Times New Roman"/>
              </w:rPr>
            </w:pPr>
            <w:r w:rsidRPr="00476BF5">
              <w:rPr>
                <w:rFonts w:ascii="Times New Roman" w:hAnsi="Times New Roman" w:cs="Times New Roman"/>
              </w:rPr>
              <w:t>Vaikų sk.</w:t>
            </w:r>
          </w:p>
        </w:tc>
      </w:tr>
      <w:tr w:rsidR="00B6210F" w:rsidRPr="00476BF5" w14:paraId="59E27D63" w14:textId="77777777" w:rsidTr="00B6210F">
        <w:trPr>
          <w:trHeight w:val="295"/>
        </w:trPr>
        <w:tc>
          <w:tcPr>
            <w:tcW w:w="1701" w:type="dxa"/>
          </w:tcPr>
          <w:p w14:paraId="59E27D5C" w14:textId="77777777" w:rsidR="00476BF5" w:rsidRPr="00935CF8" w:rsidRDefault="00476BF5" w:rsidP="00B6210F">
            <w:pPr>
              <w:rPr>
                <w:rFonts w:ascii="Times New Roman" w:hAnsi="Times New Roman" w:cs="Times New Roman"/>
                <w:b/>
              </w:rPr>
            </w:pPr>
            <w:r w:rsidRPr="00935CF8">
              <w:rPr>
                <w:rFonts w:ascii="Times New Roman" w:hAnsi="Times New Roman" w:cs="Times New Roman"/>
                <w:b/>
              </w:rPr>
              <w:t xml:space="preserve">NVŠ krepšelis </w:t>
            </w:r>
          </w:p>
        </w:tc>
        <w:tc>
          <w:tcPr>
            <w:tcW w:w="1418" w:type="dxa"/>
          </w:tcPr>
          <w:p w14:paraId="59E27D5D"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43</w:t>
            </w:r>
          </w:p>
        </w:tc>
        <w:tc>
          <w:tcPr>
            <w:tcW w:w="1134" w:type="dxa"/>
          </w:tcPr>
          <w:p w14:paraId="59E27D5E"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1235</w:t>
            </w:r>
          </w:p>
        </w:tc>
        <w:tc>
          <w:tcPr>
            <w:tcW w:w="1417" w:type="dxa"/>
          </w:tcPr>
          <w:p w14:paraId="59E27D5F"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40</w:t>
            </w:r>
          </w:p>
        </w:tc>
        <w:tc>
          <w:tcPr>
            <w:tcW w:w="1134" w:type="dxa"/>
          </w:tcPr>
          <w:p w14:paraId="59E27D60"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1180</w:t>
            </w:r>
          </w:p>
        </w:tc>
        <w:tc>
          <w:tcPr>
            <w:tcW w:w="1418" w:type="dxa"/>
          </w:tcPr>
          <w:p w14:paraId="59E27D61"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32</w:t>
            </w:r>
          </w:p>
        </w:tc>
        <w:tc>
          <w:tcPr>
            <w:tcW w:w="1134" w:type="dxa"/>
          </w:tcPr>
          <w:p w14:paraId="59E27D62"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1012</w:t>
            </w:r>
          </w:p>
        </w:tc>
      </w:tr>
      <w:tr w:rsidR="004072AC" w:rsidRPr="00476BF5" w14:paraId="59E27D6B" w14:textId="77777777" w:rsidTr="00B6210F">
        <w:trPr>
          <w:trHeight w:val="130"/>
        </w:trPr>
        <w:tc>
          <w:tcPr>
            <w:tcW w:w="1701" w:type="dxa"/>
            <w:shd w:val="clear" w:color="auto" w:fill="DEEAF6" w:themeFill="accent1" w:themeFillTint="33"/>
          </w:tcPr>
          <w:p w14:paraId="59E27D64" w14:textId="77777777" w:rsidR="00476BF5" w:rsidRPr="00935CF8" w:rsidRDefault="00476BF5" w:rsidP="00B6210F">
            <w:pPr>
              <w:rPr>
                <w:rFonts w:ascii="Times New Roman" w:hAnsi="Times New Roman" w:cs="Times New Roman"/>
              </w:rPr>
            </w:pPr>
          </w:p>
        </w:tc>
        <w:tc>
          <w:tcPr>
            <w:tcW w:w="1418" w:type="dxa"/>
            <w:shd w:val="clear" w:color="auto" w:fill="DEEAF6" w:themeFill="accent1" w:themeFillTint="33"/>
          </w:tcPr>
          <w:p w14:paraId="59E27D65" w14:textId="77777777" w:rsidR="00476BF5" w:rsidRPr="00476BF5" w:rsidRDefault="00476BF5" w:rsidP="00B6210F"/>
        </w:tc>
        <w:tc>
          <w:tcPr>
            <w:tcW w:w="1134" w:type="dxa"/>
            <w:shd w:val="clear" w:color="auto" w:fill="DEEAF6" w:themeFill="accent1" w:themeFillTint="33"/>
          </w:tcPr>
          <w:p w14:paraId="59E27D66" w14:textId="77777777" w:rsidR="00476BF5" w:rsidRPr="00476BF5" w:rsidRDefault="00476BF5" w:rsidP="00B6210F"/>
        </w:tc>
        <w:tc>
          <w:tcPr>
            <w:tcW w:w="1417" w:type="dxa"/>
            <w:shd w:val="clear" w:color="auto" w:fill="DEEAF6" w:themeFill="accent1" w:themeFillTint="33"/>
          </w:tcPr>
          <w:p w14:paraId="59E27D67" w14:textId="77777777" w:rsidR="00476BF5" w:rsidRPr="00476BF5" w:rsidRDefault="00476BF5" w:rsidP="00B6210F"/>
        </w:tc>
        <w:tc>
          <w:tcPr>
            <w:tcW w:w="1134" w:type="dxa"/>
            <w:shd w:val="clear" w:color="auto" w:fill="DEEAF6" w:themeFill="accent1" w:themeFillTint="33"/>
          </w:tcPr>
          <w:p w14:paraId="59E27D68" w14:textId="77777777" w:rsidR="00476BF5" w:rsidRPr="00476BF5" w:rsidRDefault="00476BF5" w:rsidP="00B6210F"/>
        </w:tc>
        <w:tc>
          <w:tcPr>
            <w:tcW w:w="1418" w:type="dxa"/>
            <w:shd w:val="clear" w:color="auto" w:fill="DEEAF6" w:themeFill="accent1" w:themeFillTint="33"/>
          </w:tcPr>
          <w:p w14:paraId="59E27D69" w14:textId="77777777" w:rsidR="00476BF5" w:rsidRPr="00476BF5" w:rsidRDefault="00476BF5" w:rsidP="00B6210F"/>
        </w:tc>
        <w:tc>
          <w:tcPr>
            <w:tcW w:w="1134" w:type="dxa"/>
            <w:shd w:val="clear" w:color="auto" w:fill="DEEAF6" w:themeFill="accent1" w:themeFillTint="33"/>
          </w:tcPr>
          <w:p w14:paraId="59E27D6A" w14:textId="77777777" w:rsidR="00476BF5" w:rsidRPr="00476BF5" w:rsidRDefault="00476BF5" w:rsidP="00B6210F"/>
        </w:tc>
      </w:tr>
      <w:tr w:rsidR="00476BF5" w:rsidRPr="00476BF5" w14:paraId="59E27D70" w14:textId="77777777" w:rsidTr="004072AC">
        <w:trPr>
          <w:trHeight w:val="183"/>
        </w:trPr>
        <w:tc>
          <w:tcPr>
            <w:tcW w:w="1701" w:type="dxa"/>
            <w:vMerge w:val="restart"/>
          </w:tcPr>
          <w:p w14:paraId="59E27D6C" w14:textId="77777777" w:rsidR="00476BF5" w:rsidRPr="00935CF8" w:rsidRDefault="00476BF5" w:rsidP="00B6210F">
            <w:pPr>
              <w:rPr>
                <w:rFonts w:ascii="Times New Roman" w:hAnsi="Times New Roman" w:cs="Times New Roman"/>
                <w:b/>
              </w:rPr>
            </w:pPr>
            <w:r w:rsidRPr="00935CF8">
              <w:rPr>
                <w:rFonts w:ascii="Times New Roman" w:hAnsi="Times New Roman" w:cs="Times New Roman"/>
                <w:b/>
              </w:rPr>
              <w:t xml:space="preserve">Socializacijos programos </w:t>
            </w:r>
          </w:p>
        </w:tc>
        <w:tc>
          <w:tcPr>
            <w:tcW w:w="2552" w:type="dxa"/>
            <w:gridSpan w:val="2"/>
          </w:tcPr>
          <w:p w14:paraId="59E27D6D"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2019</w:t>
            </w:r>
            <w:r w:rsidR="004072AC">
              <w:rPr>
                <w:rFonts w:ascii="Times New Roman" w:hAnsi="Times New Roman" w:cs="Times New Roman"/>
                <w:sz w:val="24"/>
                <w:szCs w:val="24"/>
              </w:rPr>
              <w:t xml:space="preserve"> m.</w:t>
            </w:r>
          </w:p>
        </w:tc>
        <w:tc>
          <w:tcPr>
            <w:tcW w:w="2551" w:type="dxa"/>
            <w:gridSpan w:val="2"/>
          </w:tcPr>
          <w:p w14:paraId="59E27D6E"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 xml:space="preserve">2020 </w:t>
            </w:r>
            <w:r w:rsidR="004072AC">
              <w:rPr>
                <w:rFonts w:ascii="Times New Roman" w:hAnsi="Times New Roman" w:cs="Times New Roman"/>
                <w:sz w:val="24"/>
                <w:szCs w:val="24"/>
              </w:rPr>
              <w:t>m.</w:t>
            </w:r>
          </w:p>
        </w:tc>
        <w:tc>
          <w:tcPr>
            <w:tcW w:w="2552" w:type="dxa"/>
            <w:gridSpan w:val="2"/>
          </w:tcPr>
          <w:p w14:paraId="59E27D6F"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2021</w:t>
            </w:r>
            <w:r w:rsidR="004072AC">
              <w:rPr>
                <w:rFonts w:ascii="Times New Roman" w:hAnsi="Times New Roman" w:cs="Times New Roman"/>
                <w:sz w:val="24"/>
                <w:szCs w:val="24"/>
              </w:rPr>
              <w:t xml:space="preserve"> m.</w:t>
            </w:r>
          </w:p>
        </w:tc>
      </w:tr>
      <w:tr w:rsidR="00B6210F" w:rsidRPr="00476BF5" w14:paraId="59E27D78" w14:textId="77777777" w:rsidTr="004072AC">
        <w:trPr>
          <w:trHeight w:val="182"/>
        </w:trPr>
        <w:tc>
          <w:tcPr>
            <w:tcW w:w="1701" w:type="dxa"/>
            <w:vMerge/>
          </w:tcPr>
          <w:p w14:paraId="59E27D71" w14:textId="77777777" w:rsidR="00476BF5" w:rsidRPr="00935CF8" w:rsidRDefault="00476BF5" w:rsidP="00B6210F"/>
        </w:tc>
        <w:tc>
          <w:tcPr>
            <w:tcW w:w="1418" w:type="dxa"/>
          </w:tcPr>
          <w:p w14:paraId="59E27D72" w14:textId="77777777" w:rsidR="00476BF5" w:rsidRPr="00476BF5" w:rsidRDefault="00476BF5" w:rsidP="00B6210F"/>
        </w:tc>
        <w:tc>
          <w:tcPr>
            <w:tcW w:w="1134" w:type="dxa"/>
          </w:tcPr>
          <w:p w14:paraId="59E27D73" w14:textId="77777777" w:rsidR="00476BF5" w:rsidRPr="00476BF5" w:rsidRDefault="00476BF5" w:rsidP="00B6210F"/>
        </w:tc>
        <w:tc>
          <w:tcPr>
            <w:tcW w:w="1417" w:type="dxa"/>
          </w:tcPr>
          <w:p w14:paraId="59E27D74" w14:textId="77777777" w:rsidR="00476BF5" w:rsidRPr="00476BF5" w:rsidRDefault="00476BF5" w:rsidP="00B6210F"/>
        </w:tc>
        <w:tc>
          <w:tcPr>
            <w:tcW w:w="1134" w:type="dxa"/>
          </w:tcPr>
          <w:p w14:paraId="59E27D75" w14:textId="77777777" w:rsidR="00476BF5" w:rsidRPr="00476BF5" w:rsidRDefault="00476BF5" w:rsidP="00B6210F"/>
        </w:tc>
        <w:tc>
          <w:tcPr>
            <w:tcW w:w="1418" w:type="dxa"/>
          </w:tcPr>
          <w:p w14:paraId="59E27D76" w14:textId="77777777" w:rsidR="00476BF5" w:rsidRPr="00476BF5" w:rsidRDefault="00476BF5" w:rsidP="00B6210F"/>
        </w:tc>
        <w:tc>
          <w:tcPr>
            <w:tcW w:w="1134" w:type="dxa"/>
          </w:tcPr>
          <w:p w14:paraId="59E27D77" w14:textId="77777777" w:rsidR="00476BF5" w:rsidRPr="00476BF5" w:rsidRDefault="00476BF5" w:rsidP="00B6210F"/>
        </w:tc>
      </w:tr>
      <w:tr w:rsidR="00B6210F" w:rsidRPr="00476BF5" w14:paraId="59E27D80" w14:textId="77777777" w:rsidTr="004072AC">
        <w:tc>
          <w:tcPr>
            <w:tcW w:w="1701" w:type="dxa"/>
          </w:tcPr>
          <w:p w14:paraId="59E27D79" w14:textId="77777777" w:rsidR="00476BF5" w:rsidRPr="00935CF8" w:rsidRDefault="00476BF5" w:rsidP="00B6210F">
            <w:pPr>
              <w:rPr>
                <w:rFonts w:ascii="Times New Roman" w:hAnsi="Times New Roman" w:cs="Times New Roman"/>
              </w:rPr>
            </w:pPr>
            <w:r w:rsidRPr="00935CF8">
              <w:rPr>
                <w:rFonts w:ascii="Times New Roman" w:hAnsi="Times New Roman" w:cs="Times New Roman"/>
              </w:rPr>
              <w:t>Vasaros poilsio</w:t>
            </w:r>
          </w:p>
        </w:tc>
        <w:tc>
          <w:tcPr>
            <w:tcW w:w="1418" w:type="dxa"/>
          </w:tcPr>
          <w:p w14:paraId="59E27D7A"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28</w:t>
            </w:r>
          </w:p>
        </w:tc>
        <w:tc>
          <w:tcPr>
            <w:tcW w:w="1134" w:type="dxa"/>
          </w:tcPr>
          <w:p w14:paraId="59E27D7B"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735</w:t>
            </w:r>
          </w:p>
        </w:tc>
        <w:tc>
          <w:tcPr>
            <w:tcW w:w="1417" w:type="dxa"/>
          </w:tcPr>
          <w:p w14:paraId="59E27D7C"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21</w:t>
            </w:r>
          </w:p>
        </w:tc>
        <w:tc>
          <w:tcPr>
            <w:tcW w:w="1134" w:type="dxa"/>
          </w:tcPr>
          <w:p w14:paraId="59E27D7D"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688</w:t>
            </w:r>
          </w:p>
        </w:tc>
        <w:tc>
          <w:tcPr>
            <w:tcW w:w="1418" w:type="dxa"/>
          </w:tcPr>
          <w:p w14:paraId="59E27D7E"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30</w:t>
            </w:r>
          </w:p>
        </w:tc>
        <w:tc>
          <w:tcPr>
            <w:tcW w:w="1134" w:type="dxa"/>
          </w:tcPr>
          <w:p w14:paraId="59E27D7F"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833</w:t>
            </w:r>
          </w:p>
        </w:tc>
      </w:tr>
      <w:tr w:rsidR="00B6210F" w:rsidRPr="00476BF5" w14:paraId="59E27D89" w14:textId="77777777" w:rsidTr="004072AC">
        <w:tc>
          <w:tcPr>
            <w:tcW w:w="1701" w:type="dxa"/>
          </w:tcPr>
          <w:p w14:paraId="59E27D81" w14:textId="77777777" w:rsidR="00476BF5" w:rsidRPr="00935CF8" w:rsidRDefault="00476BF5" w:rsidP="00B6210F">
            <w:pPr>
              <w:rPr>
                <w:rFonts w:ascii="Times New Roman" w:hAnsi="Times New Roman" w:cs="Times New Roman"/>
              </w:rPr>
            </w:pPr>
            <w:r w:rsidRPr="00935CF8">
              <w:rPr>
                <w:rFonts w:ascii="Times New Roman" w:hAnsi="Times New Roman" w:cs="Times New Roman"/>
              </w:rPr>
              <w:t xml:space="preserve">Veiklos per mokslo metus </w:t>
            </w:r>
          </w:p>
        </w:tc>
        <w:tc>
          <w:tcPr>
            <w:tcW w:w="1418" w:type="dxa"/>
          </w:tcPr>
          <w:p w14:paraId="59E27D82"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w:t>
            </w:r>
          </w:p>
        </w:tc>
        <w:tc>
          <w:tcPr>
            <w:tcW w:w="1134" w:type="dxa"/>
          </w:tcPr>
          <w:p w14:paraId="59E27D83"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30</w:t>
            </w:r>
          </w:p>
        </w:tc>
        <w:tc>
          <w:tcPr>
            <w:tcW w:w="1417" w:type="dxa"/>
          </w:tcPr>
          <w:p w14:paraId="59E27D84"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23</w:t>
            </w:r>
          </w:p>
          <w:p w14:paraId="59E27D85" w14:textId="77777777" w:rsidR="00476BF5" w:rsidRPr="00476BF5" w:rsidRDefault="00476BF5" w:rsidP="00B6210F">
            <w:pPr>
              <w:rPr>
                <w:rFonts w:ascii="Times New Roman" w:hAnsi="Times New Roman" w:cs="Times New Roman"/>
                <w:sz w:val="16"/>
                <w:szCs w:val="16"/>
              </w:rPr>
            </w:pPr>
            <w:r w:rsidRPr="00476BF5">
              <w:rPr>
                <w:rFonts w:ascii="Times New Roman" w:hAnsi="Times New Roman" w:cs="Times New Roman"/>
                <w:sz w:val="16"/>
                <w:szCs w:val="16"/>
              </w:rPr>
              <w:t>(papildomos VB lėšos)</w:t>
            </w:r>
          </w:p>
        </w:tc>
        <w:tc>
          <w:tcPr>
            <w:tcW w:w="1134" w:type="dxa"/>
          </w:tcPr>
          <w:p w14:paraId="59E27D86"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945</w:t>
            </w:r>
          </w:p>
        </w:tc>
        <w:tc>
          <w:tcPr>
            <w:tcW w:w="1418" w:type="dxa"/>
          </w:tcPr>
          <w:p w14:paraId="59E27D87"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5</w:t>
            </w:r>
          </w:p>
        </w:tc>
        <w:tc>
          <w:tcPr>
            <w:tcW w:w="1134" w:type="dxa"/>
          </w:tcPr>
          <w:p w14:paraId="59E27D88"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870</w:t>
            </w:r>
          </w:p>
        </w:tc>
      </w:tr>
      <w:tr w:rsidR="00B6210F" w:rsidRPr="00476BF5" w14:paraId="59E27D91" w14:textId="77777777" w:rsidTr="004072AC">
        <w:tc>
          <w:tcPr>
            <w:tcW w:w="1701" w:type="dxa"/>
          </w:tcPr>
          <w:p w14:paraId="59E27D8A" w14:textId="77777777" w:rsidR="00476BF5" w:rsidRPr="00935CF8" w:rsidRDefault="00476BF5" w:rsidP="00B6210F">
            <w:pPr>
              <w:rPr>
                <w:rFonts w:ascii="Times New Roman" w:hAnsi="Times New Roman" w:cs="Times New Roman"/>
              </w:rPr>
            </w:pPr>
            <w:r w:rsidRPr="00935CF8">
              <w:rPr>
                <w:rFonts w:ascii="Times New Roman" w:hAnsi="Times New Roman" w:cs="Times New Roman"/>
              </w:rPr>
              <w:t>Iš viso :</w:t>
            </w:r>
          </w:p>
        </w:tc>
        <w:tc>
          <w:tcPr>
            <w:tcW w:w="1418" w:type="dxa"/>
          </w:tcPr>
          <w:p w14:paraId="59E27D8B"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29</w:t>
            </w:r>
          </w:p>
        </w:tc>
        <w:tc>
          <w:tcPr>
            <w:tcW w:w="1134" w:type="dxa"/>
          </w:tcPr>
          <w:p w14:paraId="59E27D8C"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765</w:t>
            </w:r>
          </w:p>
        </w:tc>
        <w:tc>
          <w:tcPr>
            <w:tcW w:w="1417" w:type="dxa"/>
          </w:tcPr>
          <w:p w14:paraId="59E27D8D"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45</w:t>
            </w:r>
          </w:p>
        </w:tc>
        <w:tc>
          <w:tcPr>
            <w:tcW w:w="1134" w:type="dxa"/>
          </w:tcPr>
          <w:p w14:paraId="59E27D8E"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1633</w:t>
            </w:r>
          </w:p>
        </w:tc>
        <w:tc>
          <w:tcPr>
            <w:tcW w:w="1418" w:type="dxa"/>
          </w:tcPr>
          <w:p w14:paraId="59E27D8F"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35</w:t>
            </w:r>
          </w:p>
        </w:tc>
        <w:tc>
          <w:tcPr>
            <w:tcW w:w="1134" w:type="dxa"/>
          </w:tcPr>
          <w:p w14:paraId="59E27D90"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1703</w:t>
            </w:r>
          </w:p>
        </w:tc>
      </w:tr>
      <w:tr w:rsidR="004072AC" w:rsidRPr="00476BF5" w14:paraId="59E27D99" w14:textId="77777777" w:rsidTr="004072AC">
        <w:tc>
          <w:tcPr>
            <w:tcW w:w="1701" w:type="dxa"/>
            <w:shd w:val="clear" w:color="auto" w:fill="DEEAF6" w:themeFill="accent1" w:themeFillTint="33"/>
          </w:tcPr>
          <w:p w14:paraId="59E27D92" w14:textId="77777777" w:rsidR="00476BF5" w:rsidRPr="00935CF8" w:rsidRDefault="00476BF5" w:rsidP="00B6210F">
            <w:pPr>
              <w:rPr>
                <w:rFonts w:ascii="Times New Roman" w:hAnsi="Times New Roman" w:cs="Times New Roman"/>
              </w:rPr>
            </w:pPr>
          </w:p>
        </w:tc>
        <w:tc>
          <w:tcPr>
            <w:tcW w:w="1418" w:type="dxa"/>
            <w:shd w:val="clear" w:color="auto" w:fill="DEEAF6" w:themeFill="accent1" w:themeFillTint="33"/>
          </w:tcPr>
          <w:p w14:paraId="59E27D93" w14:textId="77777777" w:rsidR="00476BF5" w:rsidRPr="00476BF5" w:rsidRDefault="00476BF5" w:rsidP="00B6210F"/>
        </w:tc>
        <w:tc>
          <w:tcPr>
            <w:tcW w:w="1134" w:type="dxa"/>
            <w:shd w:val="clear" w:color="auto" w:fill="DEEAF6" w:themeFill="accent1" w:themeFillTint="33"/>
          </w:tcPr>
          <w:p w14:paraId="59E27D94" w14:textId="77777777" w:rsidR="00476BF5" w:rsidRPr="00476BF5" w:rsidRDefault="00476BF5" w:rsidP="00B6210F"/>
        </w:tc>
        <w:tc>
          <w:tcPr>
            <w:tcW w:w="1417" w:type="dxa"/>
            <w:shd w:val="clear" w:color="auto" w:fill="DEEAF6" w:themeFill="accent1" w:themeFillTint="33"/>
          </w:tcPr>
          <w:p w14:paraId="59E27D95" w14:textId="77777777" w:rsidR="00476BF5" w:rsidRPr="00476BF5" w:rsidRDefault="00476BF5" w:rsidP="00B6210F"/>
        </w:tc>
        <w:tc>
          <w:tcPr>
            <w:tcW w:w="1134" w:type="dxa"/>
            <w:shd w:val="clear" w:color="auto" w:fill="DEEAF6" w:themeFill="accent1" w:themeFillTint="33"/>
          </w:tcPr>
          <w:p w14:paraId="59E27D96" w14:textId="77777777" w:rsidR="00476BF5" w:rsidRPr="00476BF5" w:rsidRDefault="00476BF5" w:rsidP="00B6210F"/>
        </w:tc>
        <w:tc>
          <w:tcPr>
            <w:tcW w:w="1418" w:type="dxa"/>
            <w:shd w:val="clear" w:color="auto" w:fill="DEEAF6" w:themeFill="accent1" w:themeFillTint="33"/>
          </w:tcPr>
          <w:p w14:paraId="59E27D97" w14:textId="77777777" w:rsidR="00476BF5" w:rsidRPr="00476BF5" w:rsidRDefault="00476BF5" w:rsidP="00B6210F"/>
        </w:tc>
        <w:tc>
          <w:tcPr>
            <w:tcW w:w="1134" w:type="dxa"/>
            <w:shd w:val="clear" w:color="auto" w:fill="DEEAF6" w:themeFill="accent1" w:themeFillTint="33"/>
          </w:tcPr>
          <w:p w14:paraId="59E27D98" w14:textId="77777777" w:rsidR="00476BF5" w:rsidRPr="00476BF5" w:rsidRDefault="00476BF5" w:rsidP="00B6210F"/>
        </w:tc>
      </w:tr>
      <w:tr w:rsidR="00476BF5" w:rsidRPr="00476BF5" w14:paraId="59E27D9E" w14:textId="77777777" w:rsidTr="004072AC">
        <w:trPr>
          <w:trHeight w:val="183"/>
        </w:trPr>
        <w:tc>
          <w:tcPr>
            <w:tcW w:w="1701" w:type="dxa"/>
            <w:vMerge w:val="restart"/>
          </w:tcPr>
          <w:p w14:paraId="59E27D9A" w14:textId="77777777" w:rsidR="00476BF5" w:rsidRPr="00935CF8" w:rsidRDefault="00476BF5" w:rsidP="00B6210F">
            <w:pPr>
              <w:rPr>
                <w:rFonts w:ascii="Times New Roman" w:hAnsi="Times New Roman" w:cs="Times New Roman"/>
                <w:b/>
              </w:rPr>
            </w:pPr>
            <w:r w:rsidRPr="00935CF8">
              <w:rPr>
                <w:rFonts w:ascii="Times New Roman" w:hAnsi="Times New Roman" w:cs="Times New Roman"/>
                <w:b/>
              </w:rPr>
              <w:t xml:space="preserve"> Neformaliojo švietimo įstaigos </w:t>
            </w:r>
          </w:p>
        </w:tc>
        <w:tc>
          <w:tcPr>
            <w:tcW w:w="2552" w:type="dxa"/>
            <w:gridSpan w:val="2"/>
          </w:tcPr>
          <w:p w14:paraId="59E27D9B"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2019</w:t>
            </w:r>
            <w:r w:rsidR="004072AC">
              <w:rPr>
                <w:rFonts w:ascii="Times New Roman" w:hAnsi="Times New Roman" w:cs="Times New Roman"/>
                <w:sz w:val="24"/>
                <w:szCs w:val="24"/>
              </w:rPr>
              <w:t>–</w:t>
            </w:r>
            <w:r w:rsidRPr="00476BF5">
              <w:rPr>
                <w:rFonts w:ascii="Times New Roman" w:hAnsi="Times New Roman" w:cs="Times New Roman"/>
                <w:sz w:val="24"/>
                <w:szCs w:val="24"/>
              </w:rPr>
              <w:t>2020</w:t>
            </w:r>
            <w:r w:rsidR="004072AC">
              <w:rPr>
                <w:rFonts w:ascii="Times New Roman" w:hAnsi="Times New Roman" w:cs="Times New Roman"/>
                <w:sz w:val="24"/>
                <w:szCs w:val="24"/>
              </w:rPr>
              <w:t xml:space="preserve"> m. m.</w:t>
            </w:r>
          </w:p>
        </w:tc>
        <w:tc>
          <w:tcPr>
            <w:tcW w:w="2551" w:type="dxa"/>
            <w:gridSpan w:val="2"/>
          </w:tcPr>
          <w:p w14:paraId="59E27D9C"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2020</w:t>
            </w:r>
            <w:r w:rsidR="004072AC">
              <w:rPr>
                <w:rFonts w:ascii="Times New Roman" w:hAnsi="Times New Roman" w:cs="Times New Roman"/>
                <w:sz w:val="24"/>
                <w:szCs w:val="24"/>
              </w:rPr>
              <w:t>–</w:t>
            </w:r>
            <w:r w:rsidRPr="00476BF5">
              <w:rPr>
                <w:rFonts w:ascii="Times New Roman" w:hAnsi="Times New Roman" w:cs="Times New Roman"/>
                <w:sz w:val="24"/>
                <w:szCs w:val="24"/>
              </w:rPr>
              <w:t>2021</w:t>
            </w:r>
            <w:r w:rsidR="004072AC">
              <w:rPr>
                <w:rFonts w:ascii="Times New Roman" w:hAnsi="Times New Roman" w:cs="Times New Roman"/>
                <w:sz w:val="24"/>
                <w:szCs w:val="24"/>
              </w:rPr>
              <w:t xml:space="preserve"> m. m.</w:t>
            </w:r>
          </w:p>
        </w:tc>
        <w:tc>
          <w:tcPr>
            <w:tcW w:w="2552" w:type="dxa"/>
            <w:gridSpan w:val="2"/>
          </w:tcPr>
          <w:p w14:paraId="59E27D9D"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2021</w:t>
            </w:r>
            <w:r w:rsidR="004072AC">
              <w:rPr>
                <w:rFonts w:ascii="Times New Roman" w:hAnsi="Times New Roman" w:cs="Times New Roman"/>
                <w:sz w:val="24"/>
                <w:szCs w:val="24"/>
              </w:rPr>
              <w:t>–</w:t>
            </w:r>
            <w:r w:rsidRPr="00476BF5">
              <w:rPr>
                <w:rFonts w:ascii="Times New Roman" w:hAnsi="Times New Roman" w:cs="Times New Roman"/>
                <w:sz w:val="24"/>
                <w:szCs w:val="24"/>
              </w:rPr>
              <w:t>2022</w:t>
            </w:r>
            <w:r w:rsidR="004072AC">
              <w:rPr>
                <w:rFonts w:ascii="Times New Roman" w:hAnsi="Times New Roman" w:cs="Times New Roman"/>
                <w:sz w:val="24"/>
                <w:szCs w:val="24"/>
              </w:rPr>
              <w:t xml:space="preserve"> m. m.</w:t>
            </w:r>
          </w:p>
        </w:tc>
      </w:tr>
      <w:tr w:rsidR="00B6210F" w:rsidRPr="00476BF5" w14:paraId="59E27DA6" w14:textId="77777777" w:rsidTr="004072AC">
        <w:trPr>
          <w:trHeight w:val="182"/>
        </w:trPr>
        <w:tc>
          <w:tcPr>
            <w:tcW w:w="1701" w:type="dxa"/>
            <w:vMerge/>
          </w:tcPr>
          <w:p w14:paraId="59E27D9F" w14:textId="77777777" w:rsidR="00476BF5" w:rsidRPr="00935CF8" w:rsidRDefault="00476BF5" w:rsidP="00B6210F"/>
        </w:tc>
        <w:tc>
          <w:tcPr>
            <w:tcW w:w="1418" w:type="dxa"/>
          </w:tcPr>
          <w:p w14:paraId="59E27DA0" w14:textId="77777777" w:rsidR="00476BF5" w:rsidRPr="00476BF5" w:rsidRDefault="00476BF5" w:rsidP="00B6210F"/>
        </w:tc>
        <w:tc>
          <w:tcPr>
            <w:tcW w:w="1134" w:type="dxa"/>
          </w:tcPr>
          <w:p w14:paraId="59E27DA1" w14:textId="77777777" w:rsidR="00476BF5" w:rsidRPr="00476BF5" w:rsidRDefault="00476BF5" w:rsidP="00B6210F"/>
        </w:tc>
        <w:tc>
          <w:tcPr>
            <w:tcW w:w="1417" w:type="dxa"/>
          </w:tcPr>
          <w:p w14:paraId="59E27DA2" w14:textId="77777777" w:rsidR="00476BF5" w:rsidRPr="00476BF5" w:rsidRDefault="00476BF5" w:rsidP="00B6210F"/>
        </w:tc>
        <w:tc>
          <w:tcPr>
            <w:tcW w:w="1134" w:type="dxa"/>
          </w:tcPr>
          <w:p w14:paraId="59E27DA3" w14:textId="77777777" w:rsidR="00476BF5" w:rsidRPr="00476BF5" w:rsidRDefault="00476BF5" w:rsidP="00B6210F"/>
        </w:tc>
        <w:tc>
          <w:tcPr>
            <w:tcW w:w="1418" w:type="dxa"/>
          </w:tcPr>
          <w:p w14:paraId="59E27DA4" w14:textId="77777777" w:rsidR="00476BF5" w:rsidRPr="00476BF5" w:rsidRDefault="00476BF5" w:rsidP="00B6210F"/>
        </w:tc>
        <w:tc>
          <w:tcPr>
            <w:tcW w:w="1134" w:type="dxa"/>
          </w:tcPr>
          <w:p w14:paraId="59E27DA5" w14:textId="77777777" w:rsidR="00476BF5" w:rsidRPr="00476BF5" w:rsidRDefault="00476BF5" w:rsidP="00B6210F"/>
        </w:tc>
      </w:tr>
      <w:tr w:rsidR="00B6210F" w:rsidRPr="00476BF5" w14:paraId="59E27DAE" w14:textId="77777777" w:rsidTr="004072AC">
        <w:tc>
          <w:tcPr>
            <w:tcW w:w="1701" w:type="dxa"/>
          </w:tcPr>
          <w:p w14:paraId="59E27DA7" w14:textId="77777777" w:rsidR="00476BF5" w:rsidRPr="00935CF8" w:rsidRDefault="00476BF5" w:rsidP="00B6210F">
            <w:pPr>
              <w:rPr>
                <w:rFonts w:ascii="Times New Roman" w:hAnsi="Times New Roman" w:cs="Times New Roman"/>
              </w:rPr>
            </w:pPr>
            <w:r w:rsidRPr="00935CF8">
              <w:rPr>
                <w:rFonts w:ascii="Times New Roman" w:hAnsi="Times New Roman" w:cs="Times New Roman"/>
              </w:rPr>
              <w:t>Muzikos mokykla</w:t>
            </w:r>
          </w:p>
        </w:tc>
        <w:tc>
          <w:tcPr>
            <w:tcW w:w="1418" w:type="dxa"/>
          </w:tcPr>
          <w:p w14:paraId="59E27DA8"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8</w:t>
            </w:r>
          </w:p>
        </w:tc>
        <w:tc>
          <w:tcPr>
            <w:tcW w:w="1134" w:type="dxa"/>
          </w:tcPr>
          <w:p w14:paraId="59E27DA9"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394</w:t>
            </w:r>
          </w:p>
        </w:tc>
        <w:tc>
          <w:tcPr>
            <w:tcW w:w="1417" w:type="dxa"/>
          </w:tcPr>
          <w:p w14:paraId="59E27DAA"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9</w:t>
            </w:r>
          </w:p>
        </w:tc>
        <w:tc>
          <w:tcPr>
            <w:tcW w:w="1134" w:type="dxa"/>
          </w:tcPr>
          <w:p w14:paraId="59E27DAB"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413</w:t>
            </w:r>
          </w:p>
        </w:tc>
        <w:tc>
          <w:tcPr>
            <w:tcW w:w="1418" w:type="dxa"/>
          </w:tcPr>
          <w:p w14:paraId="59E27DAC"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9</w:t>
            </w:r>
          </w:p>
        </w:tc>
        <w:tc>
          <w:tcPr>
            <w:tcW w:w="1134" w:type="dxa"/>
          </w:tcPr>
          <w:p w14:paraId="59E27DAD"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412</w:t>
            </w:r>
          </w:p>
        </w:tc>
      </w:tr>
      <w:tr w:rsidR="00B6210F" w:rsidRPr="00476BF5" w14:paraId="59E27DB6" w14:textId="77777777" w:rsidTr="004072AC">
        <w:tc>
          <w:tcPr>
            <w:tcW w:w="1701" w:type="dxa"/>
          </w:tcPr>
          <w:p w14:paraId="59E27DAF" w14:textId="77777777" w:rsidR="00476BF5" w:rsidRPr="00935CF8" w:rsidRDefault="00476BF5" w:rsidP="00B6210F">
            <w:pPr>
              <w:rPr>
                <w:rFonts w:ascii="Times New Roman" w:hAnsi="Times New Roman" w:cs="Times New Roman"/>
              </w:rPr>
            </w:pPr>
            <w:r w:rsidRPr="00935CF8">
              <w:rPr>
                <w:rFonts w:ascii="Times New Roman" w:hAnsi="Times New Roman" w:cs="Times New Roman"/>
              </w:rPr>
              <w:t xml:space="preserve">Sporto mokykla </w:t>
            </w:r>
          </w:p>
        </w:tc>
        <w:tc>
          <w:tcPr>
            <w:tcW w:w="1418" w:type="dxa"/>
          </w:tcPr>
          <w:p w14:paraId="59E27DB0"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17</w:t>
            </w:r>
          </w:p>
        </w:tc>
        <w:tc>
          <w:tcPr>
            <w:tcW w:w="1134" w:type="dxa"/>
          </w:tcPr>
          <w:p w14:paraId="59E27DB1"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473</w:t>
            </w:r>
          </w:p>
        </w:tc>
        <w:tc>
          <w:tcPr>
            <w:tcW w:w="1417" w:type="dxa"/>
          </w:tcPr>
          <w:p w14:paraId="59E27DB2"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17</w:t>
            </w:r>
          </w:p>
        </w:tc>
        <w:tc>
          <w:tcPr>
            <w:tcW w:w="1134" w:type="dxa"/>
          </w:tcPr>
          <w:p w14:paraId="59E27DB3"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425</w:t>
            </w:r>
          </w:p>
        </w:tc>
        <w:tc>
          <w:tcPr>
            <w:tcW w:w="1418" w:type="dxa"/>
          </w:tcPr>
          <w:p w14:paraId="59E27DB4"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18</w:t>
            </w:r>
          </w:p>
        </w:tc>
        <w:tc>
          <w:tcPr>
            <w:tcW w:w="1134" w:type="dxa"/>
          </w:tcPr>
          <w:p w14:paraId="59E27DB5"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435</w:t>
            </w:r>
          </w:p>
        </w:tc>
      </w:tr>
      <w:tr w:rsidR="00B6210F" w:rsidRPr="00476BF5" w14:paraId="59E27DC0" w14:textId="77777777" w:rsidTr="004072AC">
        <w:tc>
          <w:tcPr>
            <w:tcW w:w="1701" w:type="dxa"/>
          </w:tcPr>
          <w:p w14:paraId="59E27DB7" w14:textId="77777777" w:rsidR="00476BF5" w:rsidRPr="00935CF8" w:rsidRDefault="00476BF5" w:rsidP="00B6210F">
            <w:pPr>
              <w:rPr>
                <w:rFonts w:ascii="Times New Roman" w:hAnsi="Times New Roman" w:cs="Times New Roman"/>
              </w:rPr>
            </w:pPr>
            <w:r w:rsidRPr="00935CF8">
              <w:rPr>
                <w:rFonts w:ascii="Times New Roman" w:hAnsi="Times New Roman" w:cs="Times New Roman"/>
              </w:rPr>
              <w:t>Vaikų ir jaunimo centras</w:t>
            </w:r>
          </w:p>
        </w:tc>
        <w:tc>
          <w:tcPr>
            <w:tcW w:w="1418" w:type="dxa"/>
          </w:tcPr>
          <w:p w14:paraId="59E27DB8"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25</w:t>
            </w:r>
          </w:p>
        </w:tc>
        <w:tc>
          <w:tcPr>
            <w:tcW w:w="1134" w:type="dxa"/>
          </w:tcPr>
          <w:p w14:paraId="59E27DB9"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533 </w:t>
            </w:r>
          </w:p>
          <w:p w14:paraId="59E27DBA"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16"/>
                <w:szCs w:val="16"/>
              </w:rPr>
              <w:t>sk</w:t>
            </w:r>
            <w:r w:rsidRPr="00476BF5">
              <w:rPr>
                <w:rFonts w:ascii="Times New Roman" w:hAnsi="Times New Roman" w:cs="Times New Roman"/>
                <w:sz w:val="24"/>
                <w:szCs w:val="24"/>
              </w:rPr>
              <w:t xml:space="preserve">. </w:t>
            </w:r>
            <w:r w:rsidRPr="00476BF5">
              <w:rPr>
                <w:rFonts w:ascii="Times New Roman" w:hAnsi="Times New Roman" w:cs="Times New Roman"/>
                <w:sz w:val="16"/>
                <w:szCs w:val="16"/>
              </w:rPr>
              <w:t>unikalus be pasikartojimų kt. būreliuose</w:t>
            </w:r>
          </w:p>
        </w:tc>
        <w:tc>
          <w:tcPr>
            <w:tcW w:w="1417" w:type="dxa"/>
          </w:tcPr>
          <w:p w14:paraId="59E27DBB"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24</w:t>
            </w:r>
          </w:p>
        </w:tc>
        <w:tc>
          <w:tcPr>
            <w:tcW w:w="1134" w:type="dxa"/>
          </w:tcPr>
          <w:p w14:paraId="59E27DBC"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541</w:t>
            </w:r>
          </w:p>
          <w:p w14:paraId="59E27DBD"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16"/>
                <w:szCs w:val="16"/>
              </w:rPr>
              <w:t xml:space="preserve"> sk</w:t>
            </w:r>
            <w:r w:rsidRPr="00476BF5">
              <w:rPr>
                <w:rFonts w:ascii="Times New Roman" w:hAnsi="Times New Roman" w:cs="Times New Roman"/>
                <w:sz w:val="24"/>
                <w:szCs w:val="24"/>
              </w:rPr>
              <w:t xml:space="preserve">. </w:t>
            </w:r>
            <w:r w:rsidRPr="00476BF5">
              <w:rPr>
                <w:rFonts w:ascii="Times New Roman" w:hAnsi="Times New Roman" w:cs="Times New Roman"/>
                <w:sz w:val="16"/>
                <w:szCs w:val="16"/>
              </w:rPr>
              <w:t>unikalus be pasikartojimų kt. būreliuose</w:t>
            </w:r>
          </w:p>
        </w:tc>
        <w:tc>
          <w:tcPr>
            <w:tcW w:w="1418" w:type="dxa"/>
          </w:tcPr>
          <w:p w14:paraId="59E27DBE"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23</w:t>
            </w:r>
          </w:p>
        </w:tc>
        <w:tc>
          <w:tcPr>
            <w:tcW w:w="1134" w:type="dxa"/>
          </w:tcPr>
          <w:p w14:paraId="59E27DBF"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509</w:t>
            </w:r>
            <w:r w:rsidRPr="00476BF5">
              <w:rPr>
                <w:rFonts w:ascii="Times New Roman" w:hAnsi="Times New Roman" w:cs="Times New Roman"/>
                <w:sz w:val="16"/>
                <w:szCs w:val="16"/>
              </w:rPr>
              <w:t xml:space="preserve"> unikalus be pasikartojimų kt. būreliuose</w:t>
            </w:r>
          </w:p>
        </w:tc>
      </w:tr>
      <w:tr w:rsidR="004072AC" w:rsidRPr="00476BF5" w14:paraId="59E27DC8" w14:textId="77777777" w:rsidTr="004072AC">
        <w:tc>
          <w:tcPr>
            <w:tcW w:w="1701" w:type="dxa"/>
            <w:shd w:val="clear" w:color="auto" w:fill="DEEAF6" w:themeFill="accent1" w:themeFillTint="33"/>
          </w:tcPr>
          <w:p w14:paraId="59E27DC1" w14:textId="77777777" w:rsidR="00476BF5" w:rsidRPr="00935CF8" w:rsidRDefault="00476BF5" w:rsidP="00B6210F">
            <w:pPr>
              <w:rPr>
                <w:rFonts w:ascii="Times New Roman" w:hAnsi="Times New Roman" w:cs="Times New Roman"/>
              </w:rPr>
            </w:pPr>
          </w:p>
        </w:tc>
        <w:tc>
          <w:tcPr>
            <w:tcW w:w="1418" w:type="dxa"/>
            <w:shd w:val="clear" w:color="auto" w:fill="DEEAF6" w:themeFill="accent1" w:themeFillTint="33"/>
          </w:tcPr>
          <w:p w14:paraId="59E27DC2" w14:textId="77777777" w:rsidR="00476BF5" w:rsidRPr="00476BF5" w:rsidRDefault="00476BF5" w:rsidP="00B6210F">
            <w:pPr>
              <w:rPr>
                <w:rFonts w:ascii="Times New Roman" w:hAnsi="Times New Roman" w:cs="Times New Roman"/>
                <w:sz w:val="24"/>
                <w:szCs w:val="24"/>
              </w:rPr>
            </w:pPr>
          </w:p>
        </w:tc>
        <w:tc>
          <w:tcPr>
            <w:tcW w:w="1134" w:type="dxa"/>
            <w:shd w:val="clear" w:color="auto" w:fill="DEEAF6" w:themeFill="accent1" w:themeFillTint="33"/>
          </w:tcPr>
          <w:p w14:paraId="59E27DC3" w14:textId="77777777" w:rsidR="00476BF5" w:rsidRPr="00476BF5" w:rsidRDefault="00476BF5" w:rsidP="00B6210F">
            <w:pPr>
              <w:rPr>
                <w:rFonts w:ascii="Times New Roman" w:hAnsi="Times New Roman" w:cs="Times New Roman"/>
                <w:sz w:val="24"/>
                <w:szCs w:val="24"/>
              </w:rPr>
            </w:pPr>
          </w:p>
        </w:tc>
        <w:tc>
          <w:tcPr>
            <w:tcW w:w="1417" w:type="dxa"/>
            <w:shd w:val="clear" w:color="auto" w:fill="DEEAF6" w:themeFill="accent1" w:themeFillTint="33"/>
          </w:tcPr>
          <w:p w14:paraId="59E27DC4" w14:textId="77777777" w:rsidR="00476BF5" w:rsidRPr="00476BF5" w:rsidRDefault="00476BF5" w:rsidP="00B6210F">
            <w:pPr>
              <w:rPr>
                <w:rFonts w:ascii="Times New Roman" w:hAnsi="Times New Roman" w:cs="Times New Roman"/>
                <w:sz w:val="24"/>
                <w:szCs w:val="24"/>
              </w:rPr>
            </w:pPr>
          </w:p>
        </w:tc>
        <w:tc>
          <w:tcPr>
            <w:tcW w:w="1134" w:type="dxa"/>
            <w:shd w:val="clear" w:color="auto" w:fill="DEEAF6" w:themeFill="accent1" w:themeFillTint="33"/>
          </w:tcPr>
          <w:p w14:paraId="59E27DC5" w14:textId="77777777" w:rsidR="00476BF5" w:rsidRPr="00476BF5" w:rsidRDefault="00476BF5" w:rsidP="00B6210F">
            <w:pPr>
              <w:rPr>
                <w:rFonts w:ascii="Times New Roman" w:hAnsi="Times New Roman" w:cs="Times New Roman"/>
                <w:sz w:val="24"/>
                <w:szCs w:val="24"/>
              </w:rPr>
            </w:pPr>
          </w:p>
        </w:tc>
        <w:tc>
          <w:tcPr>
            <w:tcW w:w="1418" w:type="dxa"/>
            <w:shd w:val="clear" w:color="auto" w:fill="DEEAF6" w:themeFill="accent1" w:themeFillTint="33"/>
          </w:tcPr>
          <w:p w14:paraId="59E27DC6" w14:textId="77777777" w:rsidR="00476BF5" w:rsidRPr="00476BF5" w:rsidRDefault="00476BF5" w:rsidP="00B6210F">
            <w:pPr>
              <w:rPr>
                <w:rFonts w:ascii="Times New Roman" w:hAnsi="Times New Roman" w:cs="Times New Roman"/>
                <w:sz w:val="24"/>
                <w:szCs w:val="24"/>
              </w:rPr>
            </w:pPr>
          </w:p>
        </w:tc>
        <w:tc>
          <w:tcPr>
            <w:tcW w:w="1134" w:type="dxa"/>
            <w:shd w:val="clear" w:color="auto" w:fill="DEEAF6" w:themeFill="accent1" w:themeFillTint="33"/>
          </w:tcPr>
          <w:p w14:paraId="59E27DC7" w14:textId="77777777" w:rsidR="00476BF5" w:rsidRPr="00476BF5" w:rsidRDefault="00476BF5" w:rsidP="00B6210F">
            <w:pPr>
              <w:rPr>
                <w:rFonts w:ascii="Times New Roman" w:hAnsi="Times New Roman" w:cs="Times New Roman"/>
                <w:sz w:val="24"/>
                <w:szCs w:val="24"/>
              </w:rPr>
            </w:pPr>
          </w:p>
        </w:tc>
      </w:tr>
      <w:tr w:rsidR="00476BF5" w:rsidRPr="00476BF5" w14:paraId="59E27DCD" w14:textId="77777777" w:rsidTr="004072AC">
        <w:tc>
          <w:tcPr>
            <w:tcW w:w="1701" w:type="dxa"/>
          </w:tcPr>
          <w:p w14:paraId="59E27DC9" w14:textId="77777777" w:rsidR="00476BF5" w:rsidRPr="00935CF8" w:rsidRDefault="00476BF5" w:rsidP="00B6210F">
            <w:pPr>
              <w:rPr>
                <w:rFonts w:ascii="Times New Roman" w:hAnsi="Times New Roman" w:cs="Times New Roman"/>
              </w:rPr>
            </w:pPr>
            <w:r w:rsidRPr="00935CF8">
              <w:rPr>
                <w:rFonts w:ascii="Times New Roman" w:hAnsi="Times New Roman" w:cs="Times New Roman"/>
                <w:b/>
              </w:rPr>
              <w:lastRenderedPageBreak/>
              <w:t>Būreliai mokyklose</w:t>
            </w:r>
          </w:p>
        </w:tc>
        <w:tc>
          <w:tcPr>
            <w:tcW w:w="2552" w:type="dxa"/>
            <w:gridSpan w:val="2"/>
          </w:tcPr>
          <w:p w14:paraId="59E27DCA"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2019-10-01</w:t>
            </w:r>
          </w:p>
        </w:tc>
        <w:tc>
          <w:tcPr>
            <w:tcW w:w="2551" w:type="dxa"/>
            <w:gridSpan w:val="2"/>
          </w:tcPr>
          <w:p w14:paraId="59E27DCB"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2020-10-01</w:t>
            </w:r>
          </w:p>
        </w:tc>
        <w:tc>
          <w:tcPr>
            <w:tcW w:w="2552" w:type="dxa"/>
            <w:gridSpan w:val="2"/>
          </w:tcPr>
          <w:p w14:paraId="59E27DCC"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2021-10-01</w:t>
            </w:r>
          </w:p>
        </w:tc>
      </w:tr>
      <w:tr w:rsidR="00B6210F" w:rsidRPr="00476BF5" w14:paraId="59E27DD5" w14:textId="77777777" w:rsidTr="004072AC">
        <w:tc>
          <w:tcPr>
            <w:tcW w:w="1701" w:type="dxa"/>
          </w:tcPr>
          <w:p w14:paraId="59E27DCE" w14:textId="77777777" w:rsidR="00476BF5" w:rsidRPr="00935CF8" w:rsidRDefault="00476BF5" w:rsidP="00B6210F">
            <w:pPr>
              <w:rPr>
                <w:rFonts w:ascii="Times New Roman" w:hAnsi="Times New Roman" w:cs="Times New Roman"/>
              </w:rPr>
            </w:pPr>
          </w:p>
        </w:tc>
        <w:tc>
          <w:tcPr>
            <w:tcW w:w="1418" w:type="dxa"/>
            <w:shd w:val="clear" w:color="auto" w:fill="auto"/>
          </w:tcPr>
          <w:p w14:paraId="59E27DCF"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Skaičius </w:t>
            </w:r>
          </w:p>
        </w:tc>
        <w:tc>
          <w:tcPr>
            <w:tcW w:w="1134" w:type="dxa"/>
            <w:shd w:val="clear" w:color="auto" w:fill="auto"/>
          </w:tcPr>
          <w:p w14:paraId="59E27DD0"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Proc.</w:t>
            </w:r>
          </w:p>
        </w:tc>
        <w:tc>
          <w:tcPr>
            <w:tcW w:w="1417" w:type="dxa"/>
            <w:shd w:val="clear" w:color="auto" w:fill="auto"/>
          </w:tcPr>
          <w:p w14:paraId="59E27DD1"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Skaičius </w:t>
            </w:r>
          </w:p>
        </w:tc>
        <w:tc>
          <w:tcPr>
            <w:tcW w:w="1134" w:type="dxa"/>
            <w:shd w:val="clear" w:color="auto" w:fill="auto"/>
          </w:tcPr>
          <w:p w14:paraId="59E27DD2"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Proc.</w:t>
            </w:r>
          </w:p>
        </w:tc>
        <w:tc>
          <w:tcPr>
            <w:tcW w:w="1418" w:type="dxa"/>
            <w:shd w:val="clear" w:color="auto" w:fill="auto"/>
          </w:tcPr>
          <w:p w14:paraId="59E27DD3"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Skaičius </w:t>
            </w:r>
          </w:p>
        </w:tc>
        <w:tc>
          <w:tcPr>
            <w:tcW w:w="1134" w:type="dxa"/>
            <w:shd w:val="clear" w:color="auto" w:fill="auto"/>
          </w:tcPr>
          <w:p w14:paraId="59E27DD4"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Proc.</w:t>
            </w:r>
          </w:p>
        </w:tc>
      </w:tr>
      <w:tr w:rsidR="00B6210F" w:rsidRPr="00476BF5" w14:paraId="59E27DE2" w14:textId="77777777" w:rsidTr="004072AC">
        <w:tc>
          <w:tcPr>
            <w:tcW w:w="1701" w:type="dxa"/>
          </w:tcPr>
          <w:p w14:paraId="59E27DD6" w14:textId="77777777" w:rsidR="00476BF5" w:rsidRPr="00935CF8" w:rsidRDefault="00476BF5" w:rsidP="00B6210F">
            <w:pPr>
              <w:rPr>
                <w:rFonts w:ascii="Times New Roman" w:hAnsi="Times New Roman" w:cs="Times New Roman"/>
              </w:rPr>
            </w:pPr>
          </w:p>
        </w:tc>
        <w:tc>
          <w:tcPr>
            <w:tcW w:w="1418" w:type="dxa"/>
            <w:shd w:val="clear" w:color="auto" w:fill="auto"/>
          </w:tcPr>
          <w:p w14:paraId="59E27DD7" w14:textId="77777777" w:rsidR="00476BF5" w:rsidRPr="00476BF5" w:rsidRDefault="00476BF5" w:rsidP="00B6210F">
            <w:pPr>
              <w:rPr>
                <w:rFonts w:ascii="Times New Roman" w:hAnsi="Times New Roman" w:cs="Times New Roman"/>
                <w:sz w:val="16"/>
                <w:szCs w:val="16"/>
              </w:rPr>
            </w:pPr>
            <w:r w:rsidRPr="00476BF5">
              <w:rPr>
                <w:rFonts w:ascii="Times New Roman" w:hAnsi="Times New Roman" w:cs="Times New Roman"/>
              </w:rPr>
              <w:t>1082</w:t>
            </w:r>
            <w:r w:rsidRPr="00476BF5">
              <w:rPr>
                <w:rFonts w:ascii="Times New Roman" w:hAnsi="Times New Roman" w:cs="Times New Roman"/>
                <w:sz w:val="16"/>
                <w:szCs w:val="16"/>
              </w:rPr>
              <w:t xml:space="preserve"> </w:t>
            </w:r>
          </w:p>
          <w:p w14:paraId="59E27DD8" w14:textId="77777777" w:rsidR="00476BF5" w:rsidRPr="00476BF5" w:rsidRDefault="00476BF5" w:rsidP="00B6210F">
            <w:pPr>
              <w:rPr>
                <w:rFonts w:ascii="Times New Roman" w:hAnsi="Times New Roman" w:cs="Times New Roman"/>
                <w:sz w:val="16"/>
                <w:szCs w:val="16"/>
              </w:rPr>
            </w:pPr>
            <w:r w:rsidRPr="00476BF5">
              <w:rPr>
                <w:rFonts w:ascii="Times New Roman" w:hAnsi="Times New Roman" w:cs="Times New Roman"/>
                <w:sz w:val="16"/>
                <w:szCs w:val="16"/>
              </w:rPr>
              <w:t>sk</w:t>
            </w:r>
            <w:r w:rsidRPr="00476BF5">
              <w:rPr>
                <w:rFonts w:ascii="Times New Roman" w:hAnsi="Times New Roman" w:cs="Times New Roman"/>
                <w:sz w:val="24"/>
                <w:szCs w:val="24"/>
              </w:rPr>
              <w:t xml:space="preserve">. </w:t>
            </w:r>
            <w:r w:rsidRPr="00476BF5">
              <w:rPr>
                <w:rFonts w:ascii="Times New Roman" w:hAnsi="Times New Roman" w:cs="Times New Roman"/>
                <w:sz w:val="16"/>
                <w:szCs w:val="16"/>
              </w:rPr>
              <w:t>unikalus be pasikartojimų kt. būreliuose</w:t>
            </w:r>
          </w:p>
          <w:p w14:paraId="59E27DD9" w14:textId="77777777" w:rsidR="00476BF5" w:rsidRPr="00476BF5" w:rsidRDefault="00476BF5" w:rsidP="00B6210F">
            <w:pPr>
              <w:rPr>
                <w:rFonts w:ascii="Times New Roman" w:hAnsi="Times New Roman" w:cs="Times New Roman"/>
              </w:rPr>
            </w:pPr>
            <w:r w:rsidRPr="00476BF5">
              <w:rPr>
                <w:rFonts w:ascii="Times New Roman" w:hAnsi="Times New Roman" w:cs="Times New Roman"/>
                <w:sz w:val="24"/>
                <w:szCs w:val="24"/>
              </w:rPr>
              <w:t>766</w:t>
            </w:r>
          </w:p>
        </w:tc>
        <w:tc>
          <w:tcPr>
            <w:tcW w:w="1134" w:type="dxa"/>
            <w:shd w:val="clear" w:color="auto" w:fill="auto"/>
          </w:tcPr>
          <w:p w14:paraId="59E27DDA" w14:textId="77777777" w:rsidR="00476BF5" w:rsidRPr="00476BF5" w:rsidRDefault="00476BF5" w:rsidP="00B6210F">
            <w:pPr>
              <w:rPr>
                <w:rFonts w:ascii="Times New Roman" w:hAnsi="Times New Roman" w:cs="Times New Roman"/>
              </w:rPr>
            </w:pPr>
            <w:r w:rsidRPr="00476BF5">
              <w:rPr>
                <w:rFonts w:ascii="Times New Roman" w:hAnsi="Times New Roman" w:cs="Times New Roman"/>
              </w:rPr>
              <w:t>24,79</w:t>
            </w:r>
          </w:p>
        </w:tc>
        <w:tc>
          <w:tcPr>
            <w:tcW w:w="1417" w:type="dxa"/>
            <w:shd w:val="clear" w:color="auto" w:fill="auto"/>
          </w:tcPr>
          <w:p w14:paraId="59E27DDB" w14:textId="77777777" w:rsidR="00476BF5" w:rsidRPr="00476BF5" w:rsidRDefault="00476BF5" w:rsidP="00B6210F">
            <w:pPr>
              <w:rPr>
                <w:rFonts w:ascii="Times New Roman" w:hAnsi="Times New Roman" w:cs="Times New Roman"/>
              </w:rPr>
            </w:pPr>
            <w:r w:rsidRPr="00476BF5">
              <w:rPr>
                <w:rFonts w:ascii="Times New Roman" w:hAnsi="Times New Roman" w:cs="Times New Roman"/>
              </w:rPr>
              <w:t>750</w:t>
            </w:r>
          </w:p>
          <w:p w14:paraId="59E27DDC" w14:textId="77777777" w:rsidR="00476BF5" w:rsidRPr="00476BF5" w:rsidRDefault="00476BF5" w:rsidP="00B6210F">
            <w:pPr>
              <w:rPr>
                <w:rFonts w:ascii="Times New Roman" w:hAnsi="Times New Roman" w:cs="Times New Roman"/>
              </w:rPr>
            </w:pPr>
            <w:r w:rsidRPr="00476BF5">
              <w:rPr>
                <w:rFonts w:ascii="Times New Roman" w:hAnsi="Times New Roman" w:cs="Times New Roman"/>
                <w:sz w:val="16"/>
                <w:szCs w:val="16"/>
              </w:rPr>
              <w:t>sk</w:t>
            </w:r>
            <w:r w:rsidRPr="00476BF5">
              <w:rPr>
                <w:rFonts w:ascii="Times New Roman" w:hAnsi="Times New Roman" w:cs="Times New Roman"/>
                <w:sz w:val="24"/>
                <w:szCs w:val="24"/>
              </w:rPr>
              <w:t xml:space="preserve">. </w:t>
            </w:r>
            <w:r w:rsidRPr="00476BF5">
              <w:rPr>
                <w:rFonts w:ascii="Times New Roman" w:hAnsi="Times New Roman" w:cs="Times New Roman"/>
                <w:sz w:val="16"/>
                <w:szCs w:val="16"/>
              </w:rPr>
              <w:t>unikalus be pasikartojimų kt. būreliuose</w:t>
            </w:r>
            <w:r w:rsidRPr="00476BF5">
              <w:rPr>
                <w:rFonts w:ascii="Times New Roman" w:hAnsi="Times New Roman" w:cs="Times New Roman"/>
              </w:rPr>
              <w:t xml:space="preserve"> 675</w:t>
            </w:r>
          </w:p>
        </w:tc>
        <w:tc>
          <w:tcPr>
            <w:tcW w:w="1134" w:type="dxa"/>
            <w:shd w:val="clear" w:color="auto" w:fill="auto"/>
          </w:tcPr>
          <w:p w14:paraId="59E27DDD" w14:textId="77777777" w:rsidR="00476BF5" w:rsidRPr="00476BF5" w:rsidRDefault="00476BF5" w:rsidP="00B6210F">
            <w:pPr>
              <w:rPr>
                <w:rFonts w:ascii="Times New Roman" w:hAnsi="Times New Roman" w:cs="Times New Roman"/>
              </w:rPr>
            </w:pPr>
            <w:r w:rsidRPr="00476BF5">
              <w:rPr>
                <w:rFonts w:ascii="Times New Roman" w:hAnsi="Times New Roman" w:cs="Times New Roman"/>
              </w:rPr>
              <w:t>17,81</w:t>
            </w:r>
          </w:p>
        </w:tc>
        <w:tc>
          <w:tcPr>
            <w:tcW w:w="1418" w:type="dxa"/>
            <w:shd w:val="clear" w:color="auto" w:fill="auto"/>
          </w:tcPr>
          <w:p w14:paraId="59E27DDE" w14:textId="77777777" w:rsidR="00476BF5" w:rsidRPr="00476BF5" w:rsidRDefault="00476BF5" w:rsidP="00B6210F">
            <w:pPr>
              <w:rPr>
                <w:rFonts w:ascii="Times New Roman" w:hAnsi="Times New Roman" w:cs="Times New Roman"/>
              </w:rPr>
            </w:pPr>
            <w:r w:rsidRPr="00476BF5">
              <w:rPr>
                <w:rFonts w:ascii="Times New Roman" w:hAnsi="Times New Roman" w:cs="Times New Roman"/>
              </w:rPr>
              <w:t>699</w:t>
            </w:r>
          </w:p>
          <w:p w14:paraId="59E27DDF" w14:textId="77777777" w:rsidR="00476BF5" w:rsidRPr="00476BF5" w:rsidRDefault="00476BF5" w:rsidP="00B6210F">
            <w:pPr>
              <w:rPr>
                <w:rFonts w:ascii="Times New Roman" w:hAnsi="Times New Roman" w:cs="Times New Roman"/>
                <w:sz w:val="16"/>
                <w:szCs w:val="16"/>
              </w:rPr>
            </w:pPr>
            <w:r w:rsidRPr="00476BF5">
              <w:rPr>
                <w:rFonts w:ascii="Times New Roman" w:hAnsi="Times New Roman" w:cs="Times New Roman"/>
                <w:sz w:val="16"/>
                <w:szCs w:val="16"/>
              </w:rPr>
              <w:t>sk. unikalus be pasikartojimų kt. būreliuose</w:t>
            </w:r>
          </w:p>
          <w:p w14:paraId="59E27DE0" w14:textId="77777777" w:rsidR="00476BF5" w:rsidRPr="00476BF5" w:rsidRDefault="00476BF5" w:rsidP="00B6210F">
            <w:pPr>
              <w:rPr>
                <w:rFonts w:ascii="Times New Roman" w:hAnsi="Times New Roman" w:cs="Times New Roman"/>
              </w:rPr>
            </w:pPr>
            <w:r w:rsidRPr="00476BF5">
              <w:rPr>
                <w:rFonts w:ascii="Times New Roman" w:hAnsi="Times New Roman" w:cs="Times New Roman"/>
              </w:rPr>
              <w:t>666</w:t>
            </w:r>
          </w:p>
        </w:tc>
        <w:tc>
          <w:tcPr>
            <w:tcW w:w="1134" w:type="dxa"/>
            <w:shd w:val="clear" w:color="auto" w:fill="auto"/>
          </w:tcPr>
          <w:p w14:paraId="59E27DE1" w14:textId="77777777" w:rsidR="00476BF5" w:rsidRPr="00476BF5" w:rsidRDefault="00476BF5" w:rsidP="00B6210F">
            <w:pPr>
              <w:rPr>
                <w:rFonts w:ascii="Times New Roman" w:hAnsi="Times New Roman" w:cs="Times New Roman"/>
              </w:rPr>
            </w:pPr>
            <w:r w:rsidRPr="00476BF5">
              <w:rPr>
                <w:rFonts w:ascii="Times New Roman" w:hAnsi="Times New Roman" w:cs="Times New Roman"/>
              </w:rPr>
              <w:t>17,37</w:t>
            </w:r>
          </w:p>
        </w:tc>
      </w:tr>
      <w:tr w:rsidR="004072AC" w:rsidRPr="00476BF5" w14:paraId="59E27DEA" w14:textId="77777777" w:rsidTr="004072AC">
        <w:tc>
          <w:tcPr>
            <w:tcW w:w="1701" w:type="dxa"/>
            <w:shd w:val="clear" w:color="auto" w:fill="DEEAF6" w:themeFill="accent1" w:themeFillTint="33"/>
          </w:tcPr>
          <w:p w14:paraId="59E27DE3" w14:textId="77777777" w:rsidR="00476BF5" w:rsidRPr="00935CF8" w:rsidRDefault="00476BF5" w:rsidP="00B6210F">
            <w:pPr>
              <w:rPr>
                <w:rFonts w:ascii="Times New Roman" w:hAnsi="Times New Roman" w:cs="Times New Roman"/>
              </w:rPr>
            </w:pPr>
          </w:p>
        </w:tc>
        <w:tc>
          <w:tcPr>
            <w:tcW w:w="1418" w:type="dxa"/>
            <w:shd w:val="clear" w:color="auto" w:fill="DEEAF6" w:themeFill="accent1" w:themeFillTint="33"/>
          </w:tcPr>
          <w:p w14:paraId="59E27DE4" w14:textId="77777777" w:rsidR="00476BF5" w:rsidRPr="00476BF5" w:rsidRDefault="00476BF5" w:rsidP="00B6210F"/>
        </w:tc>
        <w:tc>
          <w:tcPr>
            <w:tcW w:w="1134" w:type="dxa"/>
            <w:shd w:val="clear" w:color="auto" w:fill="DEEAF6" w:themeFill="accent1" w:themeFillTint="33"/>
          </w:tcPr>
          <w:p w14:paraId="59E27DE5" w14:textId="77777777" w:rsidR="00476BF5" w:rsidRPr="00476BF5" w:rsidRDefault="00476BF5" w:rsidP="00B6210F"/>
        </w:tc>
        <w:tc>
          <w:tcPr>
            <w:tcW w:w="1417" w:type="dxa"/>
            <w:shd w:val="clear" w:color="auto" w:fill="DEEAF6" w:themeFill="accent1" w:themeFillTint="33"/>
          </w:tcPr>
          <w:p w14:paraId="59E27DE6" w14:textId="77777777" w:rsidR="00476BF5" w:rsidRPr="00476BF5" w:rsidRDefault="00476BF5" w:rsidP="00B6210F"/>
        </w:tc>
        <w:tc>
          <w:tcPr>
            <w:tcW w:w="1134" w:type="dxa"/>
            <w:shd w:val="clear" w:color="auto" w:fill="DEEAF6" w:themeFill="accent1" w:themeFillTint="33"/>
          </w:tcPr>
          <w:p w14:paraId="59E27DE7" w14:textId="77777777" w:rsidR="00476BF5" w:rsidRPr="00476BF5" w:rsidRDefault="00476BF5" w:rsidP="00B6210F"/>
        </w:tc>
        <w:tc>
          <w:tcPr>
            <w:tcW w:w="1418" w:type="dxa"/>
            <w:shd w:val="clear" w:color="auto" w:fill="DEEAF6" w:themeFill="accent1" w:themeFillTint="33"/>
          </w:tcPr>
          <w:p w14:paraId="59E27DE8" w14:textId="77777777" w:rsidR="00476BF5" w:rsidRPr="00476BF5" w:rsidRDefault="00476BF5" w:rsidP="00B6210F"/>
        </w:tc>
        <w:tc>
          <w:tcPr>
            <w:tcW w:w="1134" w:type="dxa"/>
            <w:shd w:val="clear" w:color="auto" w:fill="DEEAF6" w:themeFill="accent1" w:themeFillTint="33"/>
          </w:tcPr>
          <w:p w14:paraId="59E27DE9" w14:textId="77777777" w:rsidR="00476BF5" w:rsidRPr="00476BF5" w:rsidRDefault="00476BF5" w:rsidP="00B6210F"/>
        </w:tc>
      </w:tr>
      <w:tr w:rsidR="00476BF5" w:rsidRPr="00476BF5" w14:paraId="59E27DEF" w14:textId="77777777" w:rsidTr="004072AC">
        <w:trPr>
          <w:trHeight w:val="182"/>
        </w:trPr>
        <w:tc>
          <w:tcPr>
            <w:tcW w:w="1701" w:type="dxa"/>
          </w:tcPr>
          <w:p w14:paraId="59E27DEB" w14:textId="77777777" w:rsidR="00476BF5" w:rsidRPr="00935CF8" w:rsidRDefault="00476BF5" w:rsidP="00B6210F">
            <w:r w:rsidRPr="00935CF8">
              <w:rPr>
                <w:rFonts w:ascii="Times New Roman" w:eastAsia="Times New Roman" w:hAnsi="Times New Roman" w:cs="Times New Roman"/>
                <w:b/>
                <w:iCs/>
                <w:color w:val="222222"/>
                <w:lang w:eastAsia="lt-LT"/>
              </w:rPr>
              <w:t>Dalyvauja NVŠ programose arba lanko BUM būrelius</w:t>
            </w:r>
          </w:p>
        </w:tc>
        <w:tc>
          <w:tcPr>
            <w:tcW w:w="2552" w:type="dxa"/>
            <w:gridSpan w:val="2"/>
          </w:tcPr>
          <w:p w14:paraId="59E27DEC"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2019</w:t>
            </w:r>
            <w:r w:rsidR="004072AC" w:rsidRPr="00B6210F">
              <w:rPr>
                <w:rFonts w:ascii="Times New Roman" w:hAnsi="Times New Roman" w:cs="Times New Roman"/>
                <w:sz w:val="24"/>
                <w:szCs w:val="24"/>
              </w:rPr>
              <w:t>–</w:t>
            </w:r>
            <w:r w:rsidRPr="00476BF5">
              <w:rPr>
                <w:rFonts w:ascii="Times New Roman" w:hAnsi="Times New Roman" w:cs="Times New Roman"/>
                <w:sz w:val="24"/>
                <w:szCs w:val="24"/>
              </w:rPr>
              <w:t>2020</w:t>
            </w:r>
            <w:r w:rsidR="004072AC" w:rsidRPr="00B6210F">
              <w:rPr>
                <w:rFonts w:ascii="Times New Roman" w:hAnsi="Times New Roman" w:cs="Times New Roman"/>
                <w:sz w:val="24"/>
                <w:szCs w:val="24"/>
              </w:rPr>
              <w:t xml:space="preserve"> m. m.</w:t>
            </w:r>
          </w:p>
        </w:tc>
        <w:tc>
          <w:tcPr>
            <w:tcW w:w="2551" w:type="dxa"/>
            <w:gridSpan w:val="2"/>
          </w:tcPr>
          <w:p w14:paraId="59E27DED"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2020</w:t>
            </w:r>
            <w:r w:rsidR="004072AC" w:rsidRPr="00B6210F">
              <w:rPr>
                <w:rFonts w:ascii="Times New Roman" w:hAnsi="Times New Roman" w:cs="Times New Roman"/>
                <w:sz w:val="24"/>
                <w:szCs w:val="24"/>
              </w:rPr>
              <w:t>–</w:t>
            </w:r>
            <w:r w:rsidRPr="00476BF5">
              <w:rPr>
                <w:rFonts w:ascii="Times New Roman" w:hAnsi="Times New Roman" w:cs="Times New Roman"/>
                <w:sz w:val="24"/>
                <w:szCs w:val="24"/>
              </w:rPr>
              <w:t>2021</w:t>
            </w:r>
            <w:r w:rsidR="004072AC" w:rsidRPr="00B6210F">
              <w:rPr>
                <w:rFonts w:ascii="Times New Roman" w:hAnsi="Times New Roman" w:cs="Times New Roman"/>
                <w:sz w:val="24"/>
                <w:szCs w:val="24"/>
              </w:rPr>
              <w:t xml:space="preserve"> m. m.</w:t>
            </w:r>
          </w:p>
        </w:tc>
        <w:tc>
          <w:tcPr>
            <w:tcW w:w="2552" w:type="dxa"/>
            <w:gridSpan w:val="2"/>
          </w:tcPr>
          <w:p w14:paraId="59E27DEE" w14:textId="77777777" w:rsidR="00476BF5" w:rsidRPr="00476BF5" w:rsidRDefault="00476BF5" w:rsidP="00D03DA7">
            <w:pPr>
              <w:jc w:val="center"/>
              <w:rPr>
                <w:rFonts w:ascii="Times New Roman" w:hAnsi="Times New Roman" w:cs="Times New Roman"/>
                <w:sz w:val="24"/>
                <w:szCs w:val="24"/>
              </w:rPr>
            </w:pPr>
            <w:r w:rsidRPr="00476BF5">
              <w:rPr>
                <w:rFonts w:ascii="Times New Roman" w:hAnsi="Times New Roman" w:cs="Times New Roman"/>
                <w:sz w:val="24"/>
                <w:szCs w:val="24"/>
              </w:rPr>
              <w:t>2021</w:t>
            </w:r>
            <w:r w:rsidR="004072AC" w:rsidRPr="00B6210F">
              <w:rPr>
                <w:rFonts w:ascii="Times New Roman" w:hAnsi="Times New Roman" w:cs="Times New Roman"/>
                <w:sz w:val="24"/>
                <w:szCs w:val="24"/>
              </w:rPr>
              <w:t>–</w:t>
            </w:r>
            <w:r w:rsidRPr="00476BF5">
              <w:rPr>
                <w:rFonts w:ascii="Times New Roman" w:hAnsi="Times New Roman" w:cs="Times New Roman"/>
                <w:sz w:val="24"/>
                <w:szCs w:val="24"/>
              </w:rPr>
              <w:t>2022</w:t>
            </w:r>
            <w:r w:rsidR="004072AC" w:rsidRPr="00B6210F">
              <w:rPr>
                <w:rFonts w:ascii="Times New Roman" w:hAnsi="Times New Roman" w:cs="Times New Roman"/>
                <w:sz w:val="24"/>
                <w:szCs w:val="24"/>
              </w:rPr>
              <w:t xml:space="preserve"> m. m.</w:t>
            </w:r>
          </w:p>
        </w:tc>
      </w:tr>
      <w:tr w:rsidR="00B6210F" w:rsidRPr="00476BF5" w14:paraId="59E27DF7" w14:textId="77777777" w:rsidTr="004072AC">
        <w:tc>
          <w:tcPr>
            <w:tcW w:w="1701" w:type="dxa"/>
            <w:shd w:val="clear" w:color="auto" w:fill="auto"/>
          </w:tcPr>
          <w:p w14:paraId="59E27DF0" w14:textId="77777777" w:rsidR="00476BF5" w:rsidRPr="00476BF5" w:rsidRDefault="00476BF5" w:rsidP="00B6210F">
            <w:pPr>
              <w:rPr>
                <w:rFonts w:ascii="Times New Roman" w:hAnsi="Times New Roman" w:cs="Times New Roman"/>
                <w:sz w:val="24"/>
                <w:szCs w:val="24"/>
              </w:rPr>
            </w:pPr>
          </w:p>
        </w:tc>
        <w:tc>
          <w:tcPr>
            <w:tcW w:w="1418" w:type="dxa"/>
            <w:shd w:val="clear" w:color="auto" w:fill="auto"/>
          </w:tcPr>
          <w:p w14:paraId="59E27DF1"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Skaičius </w:t>
            </w:r>
          </w:p>
        </w:tc>
        <w:tc>
          <w:tcPr>
            <w:tcW w:w="1134" w:type="dxa"/>
            <w:shd w:val="clear" w:color="auto" w:fill="auto"/>
          </w:tcPr>
          <w:p w14:paraId="59E27DF2"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Proc.</w:t>
            </w:r>
          </w:p>
        </w:tc>
        <w:tc>
          <w:tcPr>
            <w:tcW w:w="1417" w:type="dxa"/>
            <w:shd w:val="clear" w:color="auto" w:fill="auto"/>
          </w:tcPr>
          <w:p w14:paraId="59E27DF3"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Skaičius </w:t>
            </w:r>
          </w:p>
        </w:tc>
        <w:tc>
          <w:tcPr>
            <w:tcW w:w="1134" w:type="dxa"/>
            <w:shd w:val="clear" w:color="auto" w:fill="auto"/>
          </w:tcPr>
          <w:p w14:paraId="59E27DF4"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Proc.</w:t>
            </w:r>
          </w:p>
        </w:tc>
        <w:tc>
          <w:tcPr>
            <w:tcW w:w="1418" w:type="dxa"/>
            <w:shd w:val="clear" w:color="auto" w:fill="auto"/>
          </w:tcPr>
          <w:p w14:paraId="59E27DF5"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 xml:space="preserve">Skaičius </w:t>
            </w:r>
          </w:p>
        </w:tc>
        <w:tc>
          <w:tcPr>
            <w:tcW w:w="1134" w:type="dxa"/>
            <w:shd w:val="clear" w:color="auto" w:fill="auto"/>
          </w:tcPr>
          <w:p w14:paraId="59E27DF6"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Proc.</w:t>
            </w:r>
          </w:p>
        </w:tc>
      </w:tr>
      <w:tr w:rsidR="00B6210F" w:rsidRPr="00476BF5" w14:paraId="59E27DFF" w14:textId="77777777" w:rsidTr="004072AC">
        <w:tc>
          <w:tcPr>
            <w:tcW w:w="1701" w:type="dxa"/>
            <w:shd w:val="clear" w:color="auto" w:fill="auto"/>
          </w:tcPr>
          <w:p w14:paraId="59E27DF8" w14:textId="77777777" w:rsidR="00476BF5" w:rsidRPr="00476BF5" w:rsidRDefault="00476BF5" w:rsidP="00B6210F">
            <w:pPr>
              <w:rPr>
                <w:rFonts w:ascii="Times New Roman" w:hAnsi="Times New Roman" w:cs="Times New Roman"/>
                <w:sz w:val="24"/>
                <w:szCs w:val="24"/>
              </w:rPr>
            </w:pPr>
          </w:p>
        </w:tc>
        <w:tc>
          <w:tcPr>
            <w:tcW w:w="1418" w:type="dxa"/>
            <w:shd w:val="clear" w:color="auto" w:fill="auto"/>
          </w:tcPr>
          <w:p w14:paraId="59E27DF9"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2092</w:t>
            </w:r>
          </w:p>
        </w:tc>
        <w:tc>
          <w:tcPr>
            <w:tcW w:w="1134" w:type="dxa"/>
            <w:shd w:val="clear" w:color="auto" w:fill="auto"/>
          </w:tcPr>
          <w:p w14:paraId="59E27DFA"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49,13</w:t>
            </w:r>
          </w:p>
        </w:tc>
        <w:tc>
          <w:tcPr>
            <w:tcW w:w="1417" w:type="dxa"/>
            <w:shd w:val="clear" w:color="auto" w:fill="auto"/>
          </w:tcPr>
          <w:p w14:paraId="59E27DFB"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2008</w:t>
            </w:r>
          </w:p>
        </w:tc>
        <w:tc>
          <w:tcPr>
            <w:tcW w:w="1134" w:type="dxa"/>
            <w:shd w:val="clear" w:color="auto" w:fill="auto"/>
          </w:tcPr>
          <w:p w14:paraId="59E27DFC"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48,99</w:t>
            </w:r>
          </w:p>
        </w:tc>
        <w:tc>
          <w:tcPr>
            <w:tcW w:w="1418" w:type="dxa"/>
            <w:shd w:val="clear" w:color="auto" w:fill="auto"/>
          </w:tcPr>
          <w:p w14:paraId="59E27DFD"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1935</w:t>
            </w:r>
          </w:p>
        </w:tc>
        <w:tc>
          <w:tcPr>
            <w:tcW w:w="1134" w:type="dxa"/>
            <w:shd w:val="clear" w:color="auto" w:fill="auto"/>
          </w:tcPr>
          <w:p w14:paraId="59E27DFE" w14:textId="77777777" w:rsidR="00476BF5" w:rsidRPr="00476BF5" w:rsidRDefault="00476BF5" w:rsidP="00B6210F">
            <w:pPr>
              <w:rPr>
                <w:rFonts w:ascii="Times New Roman" w:hAnsi="Times New Roman" w:cs="Times New Roman"/>
                <w:sz w:val="24"/>
                <w:szCs w:val="24"/>
              </w:rPr>
            </w:pPr>
            <w:r w:rsidRPr="00476BF5">
              <w:rPr>
                <w:rFonts w:ascii="Times New Roman" w:hAnsi="Times New Roman" w:cs="Times New Roman"/>
                <w:sz w:val="24"/>
                <w:szCs w:val="24"/>
              </w:rPr>
              <w:t>50,10</w:t>
            </w:r>
          </w:p>
        </w:tc>
      </w:tr>
    </w:tbl>
    <w:p w14:paraId="59E27E00" w14:textId="77777777" w:rsidR="00476BF5" w:rsidRPr="00625CDF" w:rsidRDefault="00476BF5" w:rsidP="00B6210F">
      <w:pPr>
        <w:spacing w:after="0" w:line="240" w:lineRule="auto"/>
      </w:pPr>
    </w:p>
    <w:p w14:paraId="59E27E01" w14:textId="77777777" w:rsidR="000E0B00" w:rsidRPr="00C90B45" w:rsidRDefault="000E0B00" w:rsidP="000E0B00">
      <w:pPr>
        <w:spacing w:after="0" w:line="240" w:lineRule="auto"/>
        <w:ind w:firstLine="1296"/>
        <w:jc w:val="center"/>
        <w:rPr>
          <w:rFonts w:ascii="Times New Roman" w:hAnsi="Times New Roman" w:cs="Times New Roman"/>
          <w:sz w:val="24"/>
          <w:szCs w:val="24"/>
        </w:rPr>
      </w:pPr>
      <w:r w:rsidRPr="00C90B45">
        <w:rPr>
          <w:rFonts w:ascii="Times New Roman" w:hAnsi="Times New Roman" w:cs="Times New Roman"/>
          <w:b/>
          <w:bCs/>
          <w:sz w:val="24"/>
          <w:szCs w:val="24"/>
        </w:rPr>
        <w:t>Švietimo finansavimas</w:t>
      </w:r>
    </w:p>
    <w:p w14:paraId="59E27E02" w14:textId="77777777" w:rsidR="000E0B00" w:rsidRPr="0047590E" w:rsidRDefault="000E0B00" w:rsidP="000E0B00">
      <w:pPr>
        <w:spacing w:after="0" w:line="240" w:lineRule="auto"/>
        <w:ind w:firstLine="1296"/>
        <w:jc w:val="both"/>
        <w:rPr>
          <w:rFonts w:ascii="Times New Roman" w:hAnsi="Times New Roman" w:cs="Times New Roman"/>
          <w:sz w:val="24"/>
          <w:szCs w:val="24"/>
        </w:rPr>
      </w:pPr>
    </w:p>
    <w:p w14:paraId="59E27E03" w14:textId="77777777" w:rsidR="000E0B00" w:rsidRPr="00C90B45" w:rsidRDefault="000E0B00" w:rsidP="000E0B00">
      <w:pPr>
        <w:spacing w:after="0" w:line="240" w:lineRule="auto"/>
        <w:ind w:firstLine="851"/>
        <w:jc w:val="both"/>
        <w:rPr>
          <w:rFonts w:ascii="Times New Roman" w:hAnsi="Times New Roman" w:cs="Times New Roman"/>
          <w:b/>
          <w:sz w:val="24"/>
          <w:szCs w:val="24"/>
        </w:rPr>
      </w:pPr>
      <w:r w:rsidRPr="00C90B45">
        <w:rPr>
          <w:rFonts w:ascii="Times New Roman" w:eastAsia="Calibri" w:hAnsi="Times New Roman" w:cs="Times New Roman"/>
          <w:sz w:val="24"/>
          <w:szCs w:val="24"/>
        </w:rPr>
        <w:t xml:space="preserve">Švietimo įstaigų asignavimams </w:t>
      </w:r>
      <w:r>
        <w:rPr>
          <w:rFonts w:ascii="Times New Roman" w:eastAsia="Calibri" w:hAnsi="Times New Roman" w:cs="Times New Roman"/>
          <w:sz w:val="24"/>
          <w:szCs w:val="24"/>
        </w:rPr>
        <w:t xml:space="preserve">2021 m. </w:t>
      </w:r>
      <w:r w:rsidRPr="00C90B45">
        <w:rPr>
          <w:rFonts w:ascii="Times New Roman" w:eastAsia="Calibri" w:hAnsi="Times New Roman" w:cs="Times New Roman"/>
          <w:sz w:val="24"/>
          <w:szCs w:val="24"/>
        </w:rPr>
        <w:t xml:space="preserve">skirta 21147,3 tūkst. </w:t>
      </w:r>
      <w:proofErr w:type="spellStart"/>
      <w:r w:rsidRPr="00C90B45">
        <w:rPr>
          <w:rFonts w:ascii="Times New Roman" w:eastAsia="Calibri" w:hAnsi="Times New Roman" w:cs="Times New Roman"/>
          <w:sz w:val="24"/>
          <w:szCs w:val="24"/>
        </w:rPr>
        <w:t>Eur</w:t>
      </w:r>
      <w:proofErr w:type="spellEnd"/>
      <w:r w:rsidRPr="00C90B45">
        <w:rPr>
          <w:rFonts w:ascii="Times New Roman" w:eastAsia="Calibri" w:hAnsi="Times New Roman" w:cs="Times New Roman"/>
          <w:sz w:val="24"/>
          <w:szCs w:val="24"/>
        </w:rPr>
        <w:t xml:space="preserve">, (40,5 proc. Savivaldybės biudžeto lėšų). Vienam besimokančiam asmeniui per metus tenkančios ugdymo lėšos – 4 081,7 </w:t>
      </w:r>
      <w:proofErr w:type="spellStart"/>
      <w:r w:rsidRPr="00C90B45">
        <w:rPr>
          <w:rFonts w:ascii="Times New Roman" w:eastAsia="Calibri" w:hAnsi="Times New Roman" w:cs="Times New Roman"/>
          <w:sz w:val="24"/>
          <w:szCs w:val="24"/>
        </w:rPr>
        <w:t>Eur</w:t>
      </w:r>
      <w:proofErr w:type="spellEnd"/>
      <w:r w:rsidRPr="00C90B45">
        <w:rPr>
          <w:rFonts w:ascii="Times New Roman" w:eastAsia="Calibri" w:hAnsi="Times New Roman" w:cs="Times New Roman"/>
          <w:sz w:val="24"/>
          <w:szCs w:val="24"/>
        </w:rPr>
        <w:t>.</w:t>
      </w:r>
      <w:r w:rsidRPr="00DB47AF">
        <w:rPr>
          <w:rFonts w:ascii="Times New Roman" w:eastAsia="Calibri" w:hAnsi="Times New Roman" w:cs="Times New Roman"/>
          <w:sz w:val="24"/>
          <w:szCs w:val="24"/>
        </w:rPr>
        <w:t xml:space="preserve"> </w:t>
      </w:r>
      <w:r w:rsidRPr="00C90B45">
        <w:rPr>
          <w:rFonts w:ascii="Times New Roman" w:eastAsia="Calibri" w:hAnsi="Times New Roman" w:cs="Times New Roman"/>
          <w:sz w:val="24"/>
          <w:szCs w:val="24"/>
        </w:rPr>
        <w:t xml:space="preserve">Vidutiniškai vienam neformaliojo švietimo įstaigos mokiniui išlaikyti per metus reikia 1 239,5 </w:t>
      </w:r>
      <w:proofErr w:type="spellStart"/>
      <w:r w:rsidRPr="00C90B45">
        <w:rPr>
          <w:rFonts w:ascii="Times New Roman" w:eastAsia="Calibri" w:hAnsi="Times New Roman" w:cs="Times New Roman"/>
          <w:sz w:val="24"/>
          <w:szCs w:val="24"/>
        </w:rPr>
        <w:t>Eur</w:t>
      </w:r>
      <w:proofErr w:type="spellEnd"/>
      <w:r w:rsidRPr="00C90B45">
        <w:rPr>
          <w:rFonts w:ascii="Times New Roman" w:eastAsia="Calibri" w:hAnsi="Times New Roman" w:cs="Times New Roman"/>
          <w:sz w:val="24"/>
          <w:szCs w:val="24"/>
        </w:rPr>
        <w:t>.</w:t>
      </w:r>
    </w:p>
    <w:p w14:paraId="59E27E04" w14:textId="77777777" w:rsidR="000E0B00" w:rsidRDefault="000E0B00" w:rsidP="000E0B00">
      <w:pPr>
        <w:spacing w:after="0" w:line="240" w:lineRule="auto"/>
        <w:ind w:firstLine="851"/>
        <w:jc w:val="both"/>
        <w:rPr>
          <w:rFonts w:ascii="Times New Roman" w:hAnsi="Times New Roman" w:cs="Times New Roman"/>
          <w:sz w:val="24"/>
          <w:szCs w:val="24"/>
        </w:rPr>
      </w:pPr>
      <w:r w:rsidRPr="00C90B45">
        <w:rPr>
          <w:rFonts w:ascii="Times New Roman" w:hAnsi="Times New Roman" w:cs="Times New Roman"/>
          <w:sz w:val="24"/>
          <w:szCs w:val="24"/>
        </w:rPr>
        <w:t xml:space="preserve">2021 m. kaip ir 2020 m. devynios </w:t>
      </w:r>
      <w:r>
        <w:rPr>
          <w:rFonts w:ascii="Times New Roman" w:hAnsi="Times New Roman" w:cs="Times New Roman"/>
          <w:sz w:val="24"/>
          <w:szCs w:val="24"/>
        </w:rPr>
        <w:t xml:space="preserve">Savivaldybės </w:t>
      </w:r>
      <w:r w:rsidRPr="00C90B45">
        <w:rPr>
          <w:rFonts w:ascii="Times New Roman" w:hAnsi="Times New Roman" w:cs="Times New Roman"/>
          <w:sz w:val="24"/>
          <w:szCs w:val="24"/>
        </w:rPr>
        <w:t>mokyklos dalyvavo projekte „Mokinių ugdymosi pasiekimų gerinimas diegiant kokybės krepšelį</w:t>
      </w:r>
      <w:r>
        <w:rPr>
          <w:rFonts w:ascii="Times New Roman" w:hAnsi="Times New Roman" w:cs="Times New Roman"/>
          <w:sz w:val="24"/>
          <w:szCs w:val="24"/>
        </w:rPr>
        <w:t>“</w:t>
      </w:r>
      <w:r w:rsidRPr="00C90B45">
        <w:rPr>
          <w:rFonts w:ascii="Times New Roman" w:hAnsi="Times New Roman" w:cs="Times New Roman"/>
          <w:sz w:val="24"/>
          <w:szCs w:val="24"/>
        </w:rPr>
        <w:t xml:space="preserve">. Projekto tikslas – tikslinių lėšų skyrimas mokykloms mokinių ugdymosi pasiekimams gerinti. </w:t>
      </w:r>
      <w:r w:rsidRPr="00C90B45">
        <w:rPr>
          <w:rFonts w:ascii="Times New Roman" w:hAnsi="Times New Roman" w:cs="Times New Roman"/>
          <w:bCs/>
          <w:sz w:val="24"/>
          <w:szCs w:val="24"/>
          <w:lang w:eastAsia="lt-LT"/>
        </w:rPr>
        <w:t>Pagal projektą iš valstybės biudžeto</w:t>
      </w:r>
      <w:r w:rsidRPr="00C90B45">
        <w:rPr>
          <w:rFonts w:ascii="Times New Roman" w:hAnsi="Times New Roman" w:cs="Times New Roman"/>
          <w:sz w:val="24"/>
          <w:szCs w:val="24"/>
          <w:lang w:eastAsia="lt-LT"/>
        </w:rPr>
        <w:t xml:space="preserve"> finansuojama 85 proc. projekto veiklų, iš savivaldybės biudžeto – 15 proc.</w:t>
      </w:r>
      <w:r w:rsidRPr="00C90B45">
        <w:rPr>
          <w:rFonts w:ascii="Times New Roman" w:hAnsi="Times New Roman" w:cs="Times New Roman"/>
          <w:sz w:val="24"/>
          <w:szCs w:val="24"/>
        </w:rPr>
        <w:t xml:space="preserve"> </w:t>
      </w:r>
      <w:r w:rsidRPr="00C90B45">
        <w:rPr>
          <w:rFonts w:ascii="Times New Roman" w:hAnsi="Times New Roman" w:cs="Times New Roman"/>
          <w:bCs/>
          <w:sz w:val="24"/>
          <w:szCs w:val="24"/>
          <w:lang w:eastAsia="lt-LT"/>
        </w:rPr>
        <w:t xml:space="preserve">Projekto įgyvendinimui iš ES buvo skirta </w:t>
      </w:r>
      <w:r w:rsidRPr="00C90B45">
        <w:rPr>
          <w:rFonts w:ascii="Times New Roman" w:hAnsi="Times New Roman" w:cs="Times New Roman"/>
          <w:sz w:val="24"/>
          <w:szCs w:val="24"/>
        </w:rPr>
        <w:t xml:space="preserve">beveik 600 tūkst. eurų, tad Savivaldybei tenkanti dalis siekia kiek daugiau nei 76 tūkst. eurų. </w:t>
      </w:r>
    </w:p>
    <w:p w14:paraId="59E27E05" w14:textId="77777777" w:rsidR="00D03DA7" w:rsidRPr="006C2603" w:rsidRDefault="00D03DA7" w:rsidP="006C2603">
      <w:pPr>
        <w:pStyle w:val="Betarp"/>
        <w:ind w:firstLine="993"/>
        <w:jc w:val="both"/>
        <w:rPr>
          <w:rFonts w:ascii="Times New Roman" w:hAnsi="Times New Roman" w:cs="Times New Roman"/>
          <w:sz w:val="24"/>
          <w:szCs w:val="24"/>
        </w:rPr>
      </w:pPr>
      <w:r w:rsidRPr="006C2603">
        <w:rPr>
          <w:rFonts w:ascii="Times New Roman" w:hAnsi="Times New Roman" w:cs="Times New Roman"/>
          <w:sz w:val="24"/>
          <w:szCs w:val="24"/>
        </w:rPr>
        <w:t xml:space="preserve">Iš Savivaldybei skirtų DNR lėšų (120 200) </w:t>
      </w:r>
      <w:proofErr w:type="spellStart"/>
      <w:r w:rsidRPr="006C2603">
        <w:rPr>
          <w:rFonts w:ascii="Times New Roman" w:hAnsi="Times New Roman" w:cs="Times New Roman"/>
          <w:sz w:val="24"/>
          <w:szCs w:val="24"/>
        </w:rPr>
        <w:t>Eur</w:t>
      </w:r>
      <w:proofErr w:type="spellEnd"/>
      <w:r w:rsidRPr="006C2603">
        <w:rPr>
          <w:rFonts w:ascii="Times New Roman" w:hAnsi="Times New Roman" w:cs="Times New Roman"/>
          <w:sz w:val="24"/>
          <w:szCs w:val="24"/>
        </w:rPr>
        <w:t xml:space="preserve"> </w:t>
      </w:r>
      <w:r w:rsidR="006C2603">
        <w:rPr>
          <w:rFonts w:ascii="Times New Roman" w:hAnsi="Times New Roman" w:cs="Times New Roman"/>
          <w:sz w:val="24"/>
          <w:szCs w:val="24"/>
        </w:rPr>
        <w:t>bendrojo ugdymo mokyklos</w:t>
      </w:r>
      <w:r w:rsidRPr="006C2603">
        <w:rPr>
          <w:rFonts w:ascii="Times New Roman" w:hAnsi="Times New Roman" w:cs="Times New Roman"/>
          <w:sz w:val="24"/>
          <w:szCs w:val="24"/>
        </w:rPr>
        <w:t xml:space="preserve"> praturtino </w:t>
      </w:r>
      <w:r w:rsidR="006C2603">
        <w:rPr>
          <w:rFonts w:ascii="Times New Roman" w:hAnsi="Times New Roman" w:cs="Times New Roman"/>
          <w:sz w:val="24"/>
          <w:szCs w:val="24"/>
        </w:rPr>
        <w:t xml:space="preserve">2021 m. </w:t>
      </w:r>
      <w:r w:rsidRPr="006C2603">
        <w:rPr>
          <w:rFonts w:ascii="Times New Roman" w:hAnsi="Times New Roman" w:cs="Times New Roman"/>
          <w:sz w:val="24"/>
          <w:szCs w:val="24"/>
        </w:rPr>
        <w:t>skaitmeninę mokymo(</w:t>
      </w:r>
      <w:proofErr w:type="spellStart"/>
      <w:r w:rsidRPr="006C2603">
        <w:rPr>
          <w:rFonts w:ascii="Times New Roman" w:hAnsi="Times New Roman" w:cs="Times New Roman"/>
          <w:sz w:val="24"/>
          <w:szCs w:val="24"/>
        </w:rPr>
        <w:t>si</w:t>
      </w:r>
      <w:proofErr w:type="spellEnd"/>
      <w:r w:rsidRPr="006C2603">
        <w:rPr>
          <w:rFonts w:ascii="Times New Roman" w:hAnsi="Times New Roman" w:cs="Times New Roman"/>
          <w:sz w:val="24"/>
          <w:szCs w:val="24"/>
        </w:rPr>
        <w:t>) aplinką:</w:t>
      </w:r>
    </w:p>
    <w:p w14:paraId="59E27E06" w14:textId="77777777" w:rsidR="00D03DA7" w:rsidRPr="006C2603" w:rsidRDefault="00D03DA7" w:rsidP="00144CDE">
      <w:pPr>
        <w:pStyle w:val="Betarp"/>
        <w:ind w:left="851"/>
        <w:jc w:val="both"/>
        <w:rPr>
          <w:rFonts w:ascii="Times New Roman" w:hAnsi="Times New Roman" w:cs="Times New Roman"/>
          <w:sz w:val="24"/>
          <w:szCs w:val="24"/>
        </w:rPr>
      </w:pPr>
      <w:r w:rsidRPr="006C2603">
        <w:rPr>
          <w:rFonts w:ascii="Times New Roman" w:hAnsi="Times New Roman" w:cs="Times New Roman"/>
          <w:sz w:val="24"/>
          <w:szCs w:val="24"/>
        </w:rPr>
        <w:t xml:space="preserve">- </w:t>
      </w:r>
      <w:r w:rsidR="006C2603">
        <w:rPr>
          <w:rFonts w:ascii="Times New Roman" w:hAnsi="Times New Roman" w:cs="Times New Roman"/>
          <w:sz w:val="24"/>
          <w:szCs w:val="24"/>
        </w:rPr>
        <w:t>į</w:t>
      </w:r>
      <w:r w:rsidRPr="006C2603">
        <w:rPr>
          <w:rFonts w:ascii="Times New Roman" w:hAnsi="Times New Roman" w:cs="Times New Roman"/>
          <w:sz w:val="24"/>
          <w:szCs w:val="24"/>
        </w:rPr>
        <w:t xml:space="preserve">sigijo kompiuterinės technikos už 40 174,24 </w:t>
      </w:r>
      <w:proofErr w:type="spellStart"/>
      <w:r w:rsidRPr="006C2603">
        <w:rPr>
          <w:rFonts w:ascii="Times New Roman" w:hAnsi="Times New Roman" w:cs="Times New Roman"/>
          <w:sz w:val="24"/>
          <w:szCs w:val="24"/>
        </w:rPr>
        <w:t>Eur</w:t>
      </w:r>
      <w:proofErr w:type="spellEnd"/>
      <w:r w:rsidRPr="006C2603">
        <w:rPr>
          <w:rFonts w:ascii="Times New Roman" w:hAnsi="Times New Roman" w:cs="Times New Roman"/>
          <w:sz w:val="24"/>
          <w:szCs w:val="24"/>
        </w:rPr>
        <w:t>;</w:t>
      </w:r>
    </w:p>
    <w:p w14:paraId="59E27E07" w14:textId="77777777" w:rsidR="00D03DA7" w:rsidRPr="006C2603" w:rsidRDefault="00D03DA7" w:rsidP="00144CDE">
      <w:pPr>
        <w:pStyle w:val="Betarp"/>
        <w:ind w:left="851"/>
        <w:jc w:val="both"/>
        <w:rPr>
          <w:rFonts w:ascii="Times New Roman" w:hAnsi="Times New Roman" w:cs="Times New Roman"/>
          <w:sz w:val="24"/>
          <w:szCs w:val="24"/>
        </w:rPr>
      </w:pPr>
      <w:r w:rsidRPr="006C2603">
        <w:rPr>
          <w:rFonts w:ascii="Times New Roman" w:hAnsi="Times New Roman" w:cs="Times New Roman"/>
          <w:sz w:val="24"/>
          <w:szCs w:val="24"/>
        </w:rPr>
        <w:t xml:space="preserve">- kitos technikos už 16 025,43 </w:t>
      </w:r>
      <w:proofErr w:type="spellStart"/>
      <w:r w:rsidRPr="006C2603">
        <w:rPr>
          <w:rFonts w:ascii="Times New Roman" w:hAnsi="Times New Roman" w:cs="Times New Roman"/>
          <w:sz w:val="24"/>
          <w:szCs w:val="24"/>
        </w:rPr>
        <w:t>Eur</w:t>
      </w:r>
      <w:proofErr w:type="spellEnd"/>
      <w:r w:rsidRPr="006C2603">
        <w:rPr>
          <w:rFonts w:ascii="Times New Roman" w:hAnsi="Times New Roman" w:cs="Times New Roman"/>
          <w:sz w:val="24"/>
          <w:szCs w:val="24"/>
        </w:rPr>
        <w:t>;</w:t>
      </w:r>
    </w:p>
    <w:p w14:paraId="59E27E08" w14:textId="77777777" w:rsidR="00D03DA7" w:rsidRPr="006C2603" w:rsidRDefault="00D03DA7" w:rsidP="00144CDE">
      <w:pPr>
        <w:pStyle w:val="Betarp"/>
        <w:ind w:left="851"/>
        <w:jc w:val="both"/>
        <w:rPr>
          <w:rFonts w:ascii="Times New Roman" w:hAnsi="Times New Roman" w:cs="Times New Roman"/>
          <w:sz w:val="24"/>
          <w:szCs w:val="24"/>
        </w:rPr>
      </w:pPr>
      <w:r w:rsidRPr="006C2603">
        <w:rPr>
          <w:rFonts w:ascii="Times New Roman" w:hAnsi="Times New Roman" w:cs="Times New Roman"/>
          <w:sz w:val="24"/>
          <w:szCs w:val="24"/>
        </w:rPr>
        <w:t xml:space="preserve">- skaitmeninių mokymo priemonių už 63 416,33 </w:t>
      </w:r>
      <w:proofErr w:type="spellStart"/>
      <w:r w:rsidRPr="006C2603">
        <w:rPr>
          <w:rFonts w:ascii="Times New Roman" w:hAnsi="Times New Roman" w:cs="Times New Roman"/>
          <w:sz w:val="24"/>
          <w:szCs w:val="24"/>
        </w:rPr>
        <w:t>Eur</w:t>
      </w:r>
      <w:proofErr w:type="spellEnd"/>
      <w:r w:rsidRPr="006C2603">
        <w:rPr>
          <w:rFonts w:ascii="Times New Roman" w:hAnsi="Times New Roman" w:cs="Times New Roman"/>
          <w:sz w:val="24"/>
          <w:szCs w:val="24"/>
        </w:rPr>
        <w:t>;</w:t>
      </w:r>
    </w:p>
    <w:p w14:paraId="59E27E09" w14:textId="77777777" w:rsidR="00D03DA7" w:rsidRPr="006C2603" w:rsidRDefault="00D03DA7" w:rsidP="00144CDE">
      <w:pPr>
        <w:spacing w:after="0" w:line="240" w:lineRule="auto"/>
        <w:ind w:left="851"/>
        <w:jc w:val="both"/>
        <w:rPr>
          <w:rFonts w:ascii="Times New Roman" w:hAnsi="Times New Roman" w:cs="Times New Roman"/>
          <w:color w:val="000000"/>
          <w:sz w:val="24"/>
          <w:szCs w:val="24"/>
          <w:lang w:eastAsia="lt-LT"/>
        </w:rPr>
      </w:pPr>
      <w:r w:rsidRPr="006C2603">
        <w:rPr>
          <w:rFonts w:ascii="Times New Roman" w:hAnsi="Times New Roman" w:cs="Times New Roman"/>
          <w:color w:val="000000"/>
          <w:sz w:val="24"/>
          <w:szCs w:val="24"/>
          <w:lang w:eastAsia="lt-LT"/>
        </w:rPr>
        <w:t>- nemokamomis skaitmeninėmis priemonėmis naudojosi 3 204 mokiniai</w:t>
      </w:r>
    </w:p>
    <w:p w14:paraId="59E27E0A" w14:textId="77777777" w:rsidR="00D03DA7" w:rsidRDefault="00D03DA7" w:rsidP="00D03DA7">
      <w:pPr>
        <w:pStyle w:val="Betarp"/>
        <w:rPr>
          <w:rFonts w:ascii="Times New Roman" w:hAnsi="Times New Roman" w:cs="Times New Roman"/>
          <w:sz w:val="24"/>
          <w:szCs w:val="24"/>
        </w:rPr>
      </w:pPr>
    </w:p>
    <w:p w14:paraId="59E27E0B" w14:textId="77777777" w:rsidR="00D03DA7" w:rsidRDefault="00144CDE" w:rsidP="00144CDE">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w:t>
      </w:r>
    </w:p>
    <w:sectPr w:rsidR="00D03DA7" w:rsidSect="00662AC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ADA"/>
    <w:multiLevelType w:val="hybridMultilevel"/>
    <w:tmpl w:val="D108D01E"/>
    <w:lvl w:ilvl="0" w:tplc="9274E0A8">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21"/>
    <w:rsid w:val="000E0B00"/>
    <w:rsid w:val="000E451F"/>
    <w:rsid w:val="00144CDE"/>
    <w:rsid w:val="001767DD"/>
    <w:rsid w:val="001A39EC"/>
    <w:rsid w:val="00205DC3"/>
    <w:rsid w:val="002212A5"/>
    <w:rsid w:val="002304D9"/>
    <w:rsid w:val="00285325"/>
    <w:rsid w:val="0035304B"/>
    <w:rsid w:val="003D06B5"/>
    <w:rsid w:val="004072AC"/>
    <w:rsid w:val="0047590E"/>
    <w:rsid w:val="00476BF5"/>
    <w:rsid w:val="0050037D"/>
    <w:rsid w:val="00581BC4"/>
    <w:rsid w:val="005D7321"/>
    <w:rsid w:val="00625CDF"/>
    <w:rsid w:val="00662ACB"/>
    <w:rsid w:val="006C2603"/>
    <w:rsid w:val="006E7440"/>
    <w:rsid w:val="0080435B"/>
    <w:rsid w:val="008B4302"/>
    <w:rsid w:val="008C1192"/>
    <w:rsid w:val="008D41E5"/>
    <w:rsid w:val="00935CF8"/>
    <w:rsid w:val="00971270"/>
    <w:rsid w:val="009F1FBC"/>
    <w:rsid w:val="00A61B36"/>
    <w:rsid w:val="00A64CC6"/>
    <w:rsid w:val="00AE2997"/>
    <w:rsid w:val="00B0711A"/>
    <w:rsid w:val="00B6210F"/>
    <w:rsid w:val="00B97095"/>
    <w:rsid w:val="00BF058F"/>
    <w:rsid w:val="00C4079A"/>
    <w:rsid w:val="00C649B3"/>
    <w:rsid w:val="00C90B45"/>
    <w:rsid w:val="00D03DA7"/>
    <w:rsid w:val="00D42386"/>
    <w:rsid w:val="00D431D4"/>
    <w:rsid w:val="00D5438B"/>
    <w:rsid w:val="00DB1EDD"/>
    <w:rsid w:val="00DB47AF"/>
    <w:rsid w:val="00DE6E50"/>
    <w:rsid w:val="00F66B74"/>
    <w:rsid w:val="00F7437D"/>
    <w:rsid w:val="00FD3D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7A14"/>
  <w15:chartTrackingRefBased/>
  <w15:docId w15:val="{8040B310-6B10-4D25-B4ED-78A80AB1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2A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66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66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FD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D5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47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F7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97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8C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DE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B0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47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47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003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7D"/>
    <w:rPr>
      <w:rFonts w:ascii="Segoe UI" w:hAnsi="Segoe UI" w:cs="Segoe UI"/>
      <w:sz w:val="18"/>
      <w:szCs w:val="18"/>
    </w:rPr>
  </w:style>
  <w:style w:type="paragraph" w:styleId="Betarp">
    <w:name w:val="No Spacing"/>
    <w:basedOn w:val="prastasis"/>
    <w:uiPriority w:val="1"/>
    <w:qFormat/>
    <w:rsid w:val="00D03DA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108">
      <w:bodyDiv w:val="1"/>
      <w:marLeft w:val="0"/>
      <w:marRight w:val="0"/>
      <w:marTop w:val="0"/>
      <w:marBottom w:val="0"/>
      <w:divBdr>
        <w:top w:val="none" w:sz="0" w:space="0" w:color="auto"/>
        <w:left w:val="none" w:sz="0" w:space="0" w:color="auto"/>
        <w:bottom w:val="none" w:sz="0" w:space="0" w:color="auto"/>
        <w:right w:val="none" w:sz="0" w:space="0" w:color="auto"/>
      </w:divBdr>
    </w:div>
    <w:div w:id="10916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8AA9-F204-41D1-A5CB-4CD39B97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921D7-2674-4B6C-84EC-2C80E5F6A408}">
  <ds:schemaRefs>
    <ds:schemaRef ds:uri="http://schemas.microsoft.com/sharepoint/v3/contenttype/forms"/>
  </ds:schemaRefs>
</ds:datastoreItem>
</file>

<file path=customXml/itemProps3.xml><?xml version="1.0" encoding="utf-8"?>
<ds:datastoreItem xmlns:ds="http://schemas.openxmlformats.org/officeDocument/2006/customXml" ds:itemID="{3D2C6ECD-429A-456D-B93C-6BEF5ECE76BB}">
  <ds:schemaRefs>
    <ds:schemaRef ds:uri="54ec8faf-838e-48b9-b550-3b4317c7796a"/>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992db97f-034e-4cf1-baa5-830a694aee45"/>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18068E-D649-4369-825A-4DA0776C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15431</Words>
  <Characters>8796</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Ineta Antanavičienė</cp:lastModifiedBy>
  <cp:revision>2</cp:revision>
  <cp:lastPrinted>2022-03-23T14:22:00Z</cp:lastPrinted>
  <dcterms:created xsi:type="dcterms:W3CDTF">2022-03-24T10:10:00Z</dcterms:created>
  <dcterms:modified xsi:type="dcterms:W3CDTF">2022-03-24T10:10:00Z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